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line="600" w:lineRule="exact"/>
        <w:jc w:val="center"/>
        <w:rPr>
          <w:rFonts w:ascii="方正小标宋简体" w:cs="方正小标宋简体" w:hAnsi="方正小标宋简体" w:eastAsia="方正小标宋简体"/>
          <w:b w:val="1"/>
          <w:bCs w:val="1"/>
          <w:sz w:val="44"/>
          <w:szCs w:val="44"/>
        </w:rPr>
      </w:pPr>
      <w:bookmarkStart w:name="_Hlk51849424" w:id="0"/>
      <w:r>
        <w:rPr>
          <w:rFonts w:ascii="方正小标宋简体" w:cs="方正小标宋简体" w:hAnsi="方正小标宋简体" w:eastAsia="方正小标宋简体"/>
          <w:b w:val="1"/>
          <w:bCs w:val="1"/>
          <w:sz w:val="44"/>
          <w:szCs w:val="44"/>
          <w:rtl w:val="0"/>
          <w:lang w:val="zh-TW" w:eastAsia="zh-TW"/>
        </w:rPr>
        <w:t>附件</w:t>
      </w:r>
      <w:r>
        <w:rPr>
          <w:rFonts w:ascii="方正小标宋简体" w:cs="方正小标宋简体" w:hAnsi="方正小标宋简体" w:eastAsia="方正小标宋简体"/>
          <w:b w:val="1"/>
          <w:bCs w:val="1"/>
          <w:sz w:val="44"/>
          <w:szCs w:val="44"/>
          <w:rtl w:val="0"/>
          <w:lang w:val="en-US"/>
        </w:rPr>
        <w:t>1</w:t>
      </w:r>
      <w:r>
        <w:rPr>
          <w:rFonts w:ascii="方正小标宋简体" w:cs="方正小标宋简体" w:hAnsi="方正小标宋简体" w:eastAsia="方正小标宋简体"/>
          <w:b w:val="1"/>
          <w:bCs w:val="1"/>
          <w:sz w:val="44"/>
          <w:szCs w:val="44"/>
          <w:rtl w:val="0"/>
          <w:lang w:val="zh-TW" w:eastAsia="zh-TW"/>
        </w:rPr>
        <w:t>：物理学院推荐</w:t>
      </w:r>
      <w:r>
        <w:rPr>
          <w:rFonts w:ascii="方正小标宋简体" w:cs="方正小标宋简体" w:hAnsi="方正小标宋简体" w:eastAsia="方正小标宋简体"/>
          <w:b w:val="1"/>
          <w:bCs w:val="1"/>
          <w:sz w:val="44"/>
          <w:szCs w:val="44"/>
          <w:rtl w:val="0"/>
          <w:lang w:val="en-US"/>
        </w:rPr>
        <w:t>202</w:t>
      </w:r>
      <w:r>
        <w:rPr>
          <w:rFonts w:ascii="方正小标宋简体" w:cs="方正小标宋简体" w:hAnsi="方正小标宋简体" w:eastAsia="方正小标宋简体"/>
          <w:b w:val="1"/>
          <w:bCs w:val="1"/>
          <w:sz w:val="44"/>
          <w:szCs w:val="44"/>
          <w:rtl w:val="0"/>
          <w:lang w:val="zh-CN" w:eastAsia="zh-CN"/>
        </w:rPr>
        <w:t>6</w:t>
      </w:r>
      <w:r>
        <w:rPr>
          <w:rFonts w:ascii="方正小标宋简体" w:cs="方正小标宋简体" w:hAnsi="方正小标宋简体" w:eastAsia="方正小标宋简体"/>
          <w:b w:val="1"/>
          <w:bCs w:val="1"/>
          <w:sz w:val="44"/>
          <w:szCs w:val="44"/>
          <w:rtl w:val="0"/>
          <w:lang w:val="zh-TW" w:eastAsia="zh-TW"/>
        </w:rPr>
        <w:t>届免试研究生素质评价方案</w:t>
      </w:r>
      <w:bookmarkEnd w:id="0"/>
    </w:p>
    <w:p>
      <w:pPr>
        <w:pStyle w:val="Normal.0"/>
        <w:spacing w:line="600" w:lineRule="exact"/>
        <w:ind w:firstLine="640"/>
        <w:jc w:val="both"/>
        <w:rPr>
          <w:rFonts w:ascii="仿宋_GB2312" w:cs="仿宋_GB2312" w:hAnsi="仿宋_GB2312" w:eastAsia="仿宋_GB2312"/>
          <w:outline w:val="0"/>
          <w:color w:val="000000"/>
          <w:sz w:val="32"/>
          <w:szCs w:val="32"/>
          <w:u w:color="000000"/>
          <w:lang w:val="zh-TW" w:eastAsia="zh-TW"/>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根据教育部通知文件要求、我校推免实际情况和本科生院相关文件，物理学院将学生科研成果、竞赛获奖、参军入伍服兵役、参加支教服务或思想政治工作、参加志愿服务、社会服务、国际组织实习等符合全面发展导向的因素纳入遴选指标体系，计入学生的素质评价成绩。</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素质评价方案合理设置各遴选指标所占权重及单项指标上限分值，在某一单项中有多个分项情况时，原则上只取一个高分项，素质评价成绩最高不超过</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1.0</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。具体方案如下：</w:t>
      </w:r>
    </w:p>
    <w:p>
      <w:pPr>
        <w:pStyle w:val="Normal.0"/>
        <w:numPr>
          <w:ilvl w:val="0"/>
          <w:numId w:val="2"/>
        </w:numPr>
        <w:bidi w:val="0"/>
        <w:spacing w:line="600" w:lineRule="exact"/>
        <w:ind w:right="0"/>
        <w:jc w:val="both"/>
        <w:rPr>
          <w:rFonts w:ascii="黑体" w:cs="黑体" w:hAnsi="黑体" w:eastAsia="黑体"/>
          <w:b w:val="1"/>
          <w:bCs w:val="1"/>
          <w:sz w:val="32"/>
          <w:szCs w:val="32"/>
          <w:rtl w:val="0"/>
          <w:lang w:val="zh-TW" w:eastAsia="zh-TW"/>
        </w:rPr>
      </w:pPr>
      <w:r>
        <w:rPr>
          <w:rFonts w:ascii="黑体" w:cs="黑体" w:hAnsi="黑体" w:eastAsia="黑体"/>
          <w:b w:val="1"/>
          <w:bCs w:val="1"/>
          <w:outline w:val="0"/>
          <w:color w:val="000000"/>
          <w:sz w:val="32"/>
          <w:szCs w:val="32"/>
          <w:u w:color="000000"/>
          <w:rtl w:val="0"/>
          <w:lang w:val="zh-TW" w:eastAsia="zh-TW"/>
          <w14:textFill>
            <w14:solidFill>
              <w14:srgbClr w14:val="000000"/>
            </w14:solidFill>
          </w14:textFill>
        </w:rPr>
        <w:t>素质评价的加分原则</w:t>
      </w:r>
    </w:p>
    <w:p>
      <w:pPr>
        <w:pStyle w:val="Normal.0"/>
        <w:spacing w:line="600" w:lineRule="exact"/>
        <w:ind w:firstLine="643"/>
        <w:rPr>
          <w:rFonts w:ascii="仿宋_GB2312" w:cs="仿宋_GB2312" w:hAnsi="仿宋_GB2312" w:eastAsia="仿宋_GB2312"/>
          <w:b w:val="1"/>
          <w:bCs w:val="1"/>
          <w:outline w:val="0"/>
          <w:color w:val="000000"/>
          <w:sz w:val="32"/>
          <w:szCs w:val="32"/>
          <w:u w:color="000000"/>
          <w14:textFill>
            <w14:solidFill>
              <w14:srgbClr w14:val="000000"/>
            </w14:solidFill>
          </w14:textFill>
        </w:rPr>
      </w:pP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（一）科研成果（上限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0.5</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原则上为学生本科阶段在</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SCI</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期刊上以独立作者或第一作者发表的与学业相关的科研论文，具体加分细则如下：</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 </w:t>
      </w:r>
    </w:p>
    <w:tbl>
      <w:tblPr>
        <w:tblW w:w="8219"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874"/>
        <w:gridCol w:w="2303"/>
        <w:gridCol w:w="1466"/>
        <w:gridCol w:w="2576"/>
      </w:tblGrid>
      <w:tr>
        <w:tblPrEx>
          <w:shd w:val="clear" w:color="auto" w:fill="cdd4e9"/>
        </w:tblPrEx>
        <w:trPr>
          <w:trHeight w:val="599" w:hRule="atLeast"/>
        </w:trPr>
        <w:tc>
          <w:tcPr>
            <w:tcW w:type="dxa" w:w="187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zh-TW" w:eastAsia="zh-TW"/>
              </w:rPr>
              <w:t>项目</w:t>
            </w: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zh-TW" w:eastAsia="zh-TW"/>
              </w:rPr>
              <w:t>类别</w:t>
            </w:r>
          </w:p>
        </w:tc>
        <w:tc>
          <w:tcPr>
            <w:tcW w:type="dxa" w:w="14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zh-TW" w:eastAsia="zh-TW"/>
              </w:rPr>
              <w:t>基本分</w:t>
            </w:r>
          </w:p>
        </w:tc>
        <w:tc>
          <w:tcPr>
            <w:tcW w:type="dxa" w:w="257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zh-TW" w:eastAsia="zh-TW"/>
              </w:rPr>
              <w:t>所需证明材料</w:t>
            </w:r>
          </w:p>
        </w:tc>
      </w:tr>
      <w:tr>
        <w:tblPrEx>
          <w:shd w:val="clear" w:color="auto" w:fill="cdd4e9"/>
        </w:tblPrEx>
        <w:trPr>
          <w:trHeight w:val="599" w:hRule="atLeast"/>
        </w:trPr>
        <w:tc>
          <w:tcPr>
            <w:tcW w:type="dxa" w:w="1874"/>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zh-TW" w:eastAsia="zh-TW"/>
              </w:rPr>
              <w:t>论文</w:t>
            </w: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en-US"/>
              </w:rPr>
              <w:t>A</w:t>
            </w:r>
            <w:r>
              <w:rPr>
                <w:rFonts w:ascii="仿宋_GB2312" w:cs="仿宋_GB2312" w:hAnsi="仿宋_GB2312" w:eastAsia="仿宋_GB2312"/>
                <w:sz w:val="32"/>
                <w:szCs w:val="32"/>
                <w:shd w:val="nil" w:color="auto" w:fill="auto"/>
                <w:rtl w:val="0"/>
                <w:lang w:val="zh-TW" w:eastAsia="zh-TW"/>
              </w:rPr>
              <w:t>：顶级</w:t>
            </w:r>
          </w:p>
        </w:tc>
        <w:tc>
          <w:tcPr>
            <w:tcW w:type="dxa" w:w="14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en-US"/>
              </w:rPr>
              <w:t>0.5</w:t>
            </w:r>
          </w:p>
        </w:tc>
        <w:tc>
          <w:tcPr>
            <w:tcW w:type="dxa" w:w="2575"/>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zh-TW" w:eastAsia="zh-TW"/>
              </w:rPr>
              <w:t>发表文章全文复印件</w:t>
            </w:r>
          </w:p>
        </w:tc>
      </w:tr>
      <w:tr>
        <w:tblPrEx>
          <w:shd w:val="clear" w:color="auto" w:fill="cdd4e9"/>
        </w:tblPrEx>
        <w:trPr>
          <w:trHeight w:val="599" w:hRule="atLeast"/>
        </w:trPr>
        <w:tc>
          <w:tcPr>
            <w:tcW w:type="dxa" w:w="187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en-US"/>
              </w:rPr>
              <w:t>B</w:t>
            </w:r>
            <w:r>
              <w:rPr>
                <w:rFonts w:ascii="仿宋_GB2312" w:cs="仿宋_GB2312" w:hAnsi="仿宋_GB2312" w:eastAsia="仿宋_GB2312"/>
                <w:sz w:val="32"/>
                <w:szCs w:val="32"/>
                <w:shd w:val="nil" w:color="auto" w:fill="auto"/>
                <w:rtl w:val="0"/>
                <w:lang w:val="zh-TW" w:eastAsia="zh-TW"/>
              </w:rPr>
              <w:t>：权威</w:t>
            </w:r>
          </w:p>
        </w:tc>
        <w:tc>
          <w:tcPr>
            <w:tcW w:type="dxa" w:w="14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en-US"/>
              </w:rPr>
              <w:t>0.3</w:t>
            </w:r>
          </w:p>
        </w:tc>
        <w:tc>
          <w:tcPr>
            <w:tcW w:type="dxa" w:w="25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r>
        <w:tblPrEx>
          <w:shd w:val="clear" w:color="auto" w:fill="cdd4e9"/>
        </w:tblPrEx>
        <w:trPr>
          <w:trHeight w:val="599" w:hRule="atLeast"/>
        </w:trPr>
        <w:tc>
          <w:tcPr>
            <w:tcW w:type="dxa" w:w="1874"/>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en-US"/>
              </w:rPr>
              <w:t>C</w:t>
            </w:r>
            <w:r>
              <w:rPr>
                <w:rFonts w:ascii="仿宋_GB2312" w:cs="仿宋_GB2312" w:hAnsi="仿宋_GB2312" w:eastAsia="仿宋_GB2312"/>
                <w:sz w:val="32"/>
                <w:szCs w:val="32"/>
                <w:shd w:val="nil" w:color="auto" w:fill="auto"/>
                <w:rtl w:val="0"/>
                <w:lang w:val="zh-TW" w:eastAsia="zh-TW"/>
              </w:rPr>
              <w:t>：一般</w:t>
            </w:r>
          </w:p>
        </w:tc>
        <w:tc>
          <w:tcPr>
            <w:tcW w:type="dxa" w:w="14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spacing w:line="600" w:lineRule="exact"/>
              <w:ind w:firstLine="200"/>
              <w:jc w:val="both"/>
            </w:pPr>
            <w:r>
              <w:rPr>
                <w:rFonts w:ascii="仿宋_GB2312" w:cs="仿宋_GB2312" w:hAnsi="仿宋_GB2312" w:eastAsia="仿宋_GB2312"/>
                <w:sz w:val="32"/>
                <w:szCs w:val="32"/>
                <w:shd w:val="nil" w:color="auto" w:fill="auto"/>
                <w:rtl w:val="0"/>
                <w:lang w:val="en-US"/>
              </w:rPr>
              <w:t>0.1</w:t>
            </w:r>
          </w:p>
        </w:tc>
        <w:tc>
          <w:tcPr>
            <w:tcW w:type="dxa" w:w="2575"/>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r>
    </w:tbl>
    <w:p>
      <w:pPr>
        <w:pStyle w:val="Normal.0"/>
        <w:widowControl w:val="0"/>
        <w:jc w:val="center"/>
        <w:rPr>
          <w:rFonts w:ascii="仿宋_GB2312" w:cs="仿宋_GB2312" w:hAnsi="仿宋_GB2312" w:eastAsia="仿宋_GB2312"/>
          <w:outline w:val="0"/>
          <w:color w:val="000000"/>
          <w:sz w:val="32"/>
          <w:szCs w:val="32"/>
          <w:u w:color="000000"/>
          <w14:textFill>
            <w14:solidFill>
              <w14:srgbClr w14:val="000000"/>
            </w14:solidFill>
          </w14:textFill>
        </w:rPr>
      </w:pP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有特殊学术专长或具有突出培养潜质的学生，可由</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3</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名以上本校本专业或相关专业教授联名推荐，经学院推免生遴选工作小组综合考察，并给出明确的素质评价加分意见后，报学校推免生遴选工作小组审查认定，认定后参加学生所在专业的综合成绩排名。学生有关说明材料和教授推荐信应由学院提前公示。</w:t>
      </w:r>
    </w:p>
    <w:p>
      <w:pPr>
        <w:pStyle w:val="Normal.0"/>
        <w:spacing w:line="600" w:lineRule="exact"/>
        <w:ind w:firstLine="643"/>
        <w:jc w:val="both"/>
        <w:rPr>
          <w:rFonts w:ascii="仿宋_GB2312" w:cs="仿宋_GB2312" w:hAnsi="仿宋_GB2312" w:eastAsia="仿宋_GB2312"/>
          <w:b w:val="1"/>
          <w:bCs w:val="1"/>
          <w:outline w:val="0"/>
          <w:color w:val="000000"/>
          <w:sz w:val="32"/>
          <w:szCs w:val="32"/>
          <w:u w:color="000000"/>
          <w14:textFill>
            <w14:solidFill>
              <w14:srgbClr w14:val="000000"/>
            </w14:solidFill>
          </w14:textFill>
        </w:rPr>
      </w:pPr>
      <w:r>
        <w:rPr>
          <w:rFonts w:ascii="仿宋_GB2312" w:cs="仿宋_GB2312" w:hAnsi="仿宋_GB2312" w:eastAsia="仿宋_GB2312"/>
          <w:b w:val="1"/>
          <w:bCs w:val="1"/>
          <w:outline w:val="0"/>
          <w:color w:val="000000"/>
          <w:sz w:val="32"/>
          <w:szCs w:val="32"/>
          <w:u w:color="000000"/>
          <w:rtl w:val="0"/>
          <w:lang w:val="zh-TW" w:eastAsia="zh-TW"/>
          <w14:textFill>
            <w14:solidFill>
              <w14:srgbClr w14:val="000000"/>
            </w14:solidFill>
          </w14:textFill>
        </w:rPr>
        <w:t>（二）</w:t>
      </w:r>
      <w:r>
        <w:rPr>
          <w:rFonts w:ascii="仿宋_GB2312" w:cs="仿宋_GB2312" w:hAnsi="仿宋_GB2312" w:eastAsia="仿宋_GB2312"/>
          <w:b w:val="1"/>
          <w:bCs w:val="1"/>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b w:val="1"/>
          <w:bCs w:val="1"/>
          <w:outline w:val="0"/>
          <w:color w:val="000000"/>
          <w:sz w:val="32"/>
          <w:szCs w:val="32"/>
          <w:u w:color="000000"/>
          <w:rtl w:val="0"/>
          <w:lang w:val="zh-TW" w:eastAsia="zh-TW"/>
          <w14:textFill>
            <w14:solidFill>
              <w14:srgbClr w14:val="000000"/>
            </w14:solidFill>
          </w14:textFill>
        </w:rPr>
        <w:t>三大赛</w:t>
      </w:r>
      <w:r>
        <w:rPr>
          <w:rFonts w:ascii="仿宋_GB2312" w:cs="仿宋_GB2312" w:hAnsi="仿宋_GB2312" w:eastAsia="仿宋_GB2312"/>
          <w:b w:val="1"/>
          <w:bCs w:val="1"/>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b w:val="1"/>
          <w:bCs w:val="1"/>
          <w:outline w:val="0"/>
          <w:color w:val="000000"/>
          <w:sz w:val="32"/>
          <w:szCs w:val="32"/>
          <w:u w:color="000000"/>
          <w:rtl w:val="0"/>
          <w:lang w:val="zh-TW" w:eastAsia="zh-TW"/>
          <w14:textFill>
            <w14:solidFill>
              <w14:srgbClr w14:val="000000"/>
            </w14:solidFill>
          </w14:textFill>
        </w:rPr>
        <w:t>获奖</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根据《关于进一步完善推荐优秀应届本科毕业生免试攻读研究生工作的通知》（浙大本发〔</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2023</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6</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号）规定，在中国</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互联网</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大学生创新创业大赛、</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挑战杯</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中国大学生创业计划大赛、</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挑战杯</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全国大学生课外学术科技作品竞赛（以下简称</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三大赛</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）中，代表浙江大学参赛并获得三等奖</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铜奖</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 xml:space="preserve">及以上奖项且团队自然排名前三的，国赛由学校确定加分分值，见附表；省赛获省级竞赛最高层级奖加 </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0.1</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w:t>
      </w:r>
    </w:p>
    <w:p>
      <w:pPr>
        <w:pStyle w:val="Normal.0"/>
        <w:jc w:val="center"/>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b w:val="1"/>
          <w:bCs w:val="1"/>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b w:val="1"/>
          <w:bCs w:val="1"/>
          <w:outline w:val="0"/>
          <w:color w:val="000000"/>
          <w:sz w:val="32"/>
          <w:szCs w:val="32"/>
          <w:u w:color="000000"/>
          <w:rtl w:val="0"/>
          <w:lang w:val="zh-TW" w:eastAsia="zh-TW"/>
          <w14:textFill>
            <w14:solidFill>
              <w14:srgbClr w14:val="000000"/>
            </w14:solidFill>
          </w14:textFill>
        </w:rPr>
        <w:t>三大赛</w:t>
      </w:r>
      <w:r>
        <w:rPr>
          <w:rFonts w:ascii="仿宋_GB2312" w:cs="仿宋_GB2312" w:hAnsi="仿宋_GB2312" w:eastAsia="仿宋_GB2312"/>
          <w:b w:val="1"/>
          <w:bCs w:val="1"/>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b w:val="1"/>
          <w:bCs w:val="1"/>
          <w:outline w:val="0"/>
          <w:color w:val="000000"/>
          <w:sz w:val="32"/>
          <w:szCs w:val="32"/>
          <w:u w:color="000000"/>
          <w:rtl w:val="0"/>
          <w:lang w:val="zh-TW" w:eastAsia="zh-TW"/>
          <w14:textFill>
            <w14:solidFill>
              <w14:srgbClr w14:val="000000"/>
            </w14:solidFill>
          </w14:textFill>
        </w:rPr>
        <w:t>国赛加分分值</w:t>
      </w:r>
    </w:p>
    <w:tbl>
      <w:tblPr>
        <w:tblW w:w="830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3781"/>
        <w:gridCol w:w="1130"/>
        <w:gridCol w:w="1129"/>
        <w:gridCol w:w="1130"/>
        <w:gridCol w:w="1130"/>
      </w:tblGrid>
      <w:tr>
        <w:tblPrEx>
          <w:shd w:val="clear" w:color="auto" w:fill="cdd4e9"/>
        </w:tblPrEx>
        <w:trPr>
          <w:trHeight w:val="410" w:hRule="atLeast"/>
        </w:trPr>
        <w:tc>
          <w:tcPr>
            <w:tcW w:type="dxa" w:w="378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竞赛名称</w:t>
            </w:r>
          </w:p>
        </w:tc>
        <w:tc>
          <w:tcPr>
            <w:tcW w:type="dxa" w:w="4518"/>
            <w:gridSpan w:val="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加分分值</w:t>
            </w:r>
          </w:p>
        </w:tc>
      </w:tr>
      <w:tr>
        <w:tblPrEx>
          <w:shd w:val="clear" w:color="auto" w:fill="cdd4e9"/>
        </w:tblPrEx>
        <w:trPr>
          <w:trHeight w:val="410" w:hRule="atLeast"/>
        </w:trPr>
        <w:tc>
          <w:tcPr>
            <w:tcW w:type="dxa" w:w="378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金奖</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银奖</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铜奖</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810" w:hRule="atLeast"/>
        </w:trPr>
        <w:tc>
          <w:tcPr>
            <w:tcW w:type="dxa" w:w="37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仿宋_GB2312" w:cs="仿宋_GB2312" w:hAnsi="仿宋_GB2312" w:eastAsia="仿宋_GB2312"/>
                <w:sz w:val="28"/>
                <w:szCs w:val="28"/>
                <w:shd w:val="nil" w:color="auto" w:fill="auto"/>
              </w:rPr>
            </w:pPr>
            <w:r>
              <w:rPr>
                <w:rFonts w:ascii="仿宋_GB2312" w:cs="仿宋_GB2312" w:hAnsi="仿宋_GB2312" w:eastAsia="仿宋_GB2312"/>
                <w:sz w:val="28"/>
                <w:szCs w:val="28"/>
                <w:shd w:val="nil" w:color="auto" w:fill="auto"/>
                <w:rtl w:val="0"/>
                <w:lang w:val="zh-TW" w:eastAsia="zh-TW"/>
              </w:rPr>
              <w:t>中国</w:t>
            </w: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zh-TW" w:eastAsia="zh-TW"/>
              </w:rPr>
              <w:t>互联网</w:t>
            </w: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zh-TW" w:eastAsia="zh-TW"/>
              </w:rPr>
              <w:t>大学生</w:t>
            </w:r>
          </w:p>
          <w:p>
            <w:pPr>
              <w:pStyle w:val="Normal.0"/>
              <w:bidi w:val="0"/>
              <w:ind w:left="0" w:right="0" w:firstLine="0"/>
              <w:jc w:val="center"/>
              <w:rPr>
                <w:rtl w:val="0"/>
              </w:rPr>
            </w:pPr>
            <w:r>
              <w:rPr>
                <w:rFonts w:ascii="仿宋_GB2312" w:cs="仿宋_GB2312" w:hAnsi="仿宋_GB2312" w:eastAsia="仿宋_GB2312"/>
                <w:sz w:val="28"/>
                <w:szCs w:val="28"/>
                <w:shd w:val="nil" w:color="auto" w:fill="auto"/>
                <w:rtl w:val="0"/>
                <w:lang w:val="zh-TW" w:eastAsia="zh-TW"/>
              </w:rPr>
              <w:t>创新创业大赛</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1.0</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0.7</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0.5</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810" w:hRule="atLeast"/>
        </w:trPr>
        <w:tc>
          <w:tcPr>
            <w:tcW w:type="dxa" w:w="37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仿宋_GB2312" w:cs="仿宋_GB2312" w:hAnsi="仿宋_GB2312" w:eastAsia="仿宋_GB2312"/>
                <w:sz w:val="28"/>
                <w:szCs w:val="28"/>
                <w:shd w:val="nil" w:color="auto" w:fill="auto"/>
              </w:rPr>
            </w:pP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zh-TW" w:eastAsia="zh-TW"/>
              </w:rPr>
              <w:t>挑战杯</w:t>
            </w: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zh-TW" w:eastAsia="zh-TW"/>
              </w:rPr>
              <w:t>中国大学生</w:t>
            </w:r>
          </w:p>
          <w:p>
            <w:pPr>
              <w:pStyle w:val="Normal.0"/>
              <w:bidi w:val="0"/>
              <w:ind w:left="0" w:right="0" w:firstLine="0"/>
              <w:jc w:val="center"/>
              <w:rPr>
                <w:rtl w:val="0"/>
              </w:rPr>
            </w:pPr>
            <w:r>
              <w:rPr>
                <w:rFonts w:ascii="仿宋_GB2312" w:cs="仿宋_GB2312" w:hAnsi="仿宋_GB2312" w:eastAsia="仿宋_GB2312"/>
                <w:sz w:val="28"/>
                <w:szCs w:val="28"/>
                <w:shd w:val="nil" w:color="auto" w:fill="auto"/>
                <w:rtl w:val="0"/>
                <w:lang w:val="zh-TW" w:eastAsia="zh-TW"/>
              </w:rPr>
              <w:t>创业计划大赛</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1.0</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0.7</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0.5</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cdd4e9"/>
        </w:tblPrEx>
        <w:trPr>
          <w:trHeight w:val="410" w:hRule="atLeast"/>
        </w:trPr>
        <w:tc>
          <w:tcPr>
            <w:tcW w:type="dxa" w:w="37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竞赛名称</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特等奖</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一等奖</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二等奖</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三等奖</w:t>
            </w:r>
          </w:p>
        </w:tc>
      </w:tr>
      <w:tr>
        <w:tblPrEx>
          <w:shd w:val="clear" w:color="auto" w:fill="cdd4e9"/>
        </w:tblPrEx>
        <w:trPr>
          <w:trHeight w:val="810" w:hRule="atLeast"/>
        </w:trPr>
        <w:tc>
          <w:tcPr>
            <w:tcW w:type="dxa" w:w="378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rPr>
                <w:rFonts w:ascii="仿宋_GB2312" w:cs="仿宋_GB2312" w:hAnsi="仿宋_GB2312" w:eastAsia="仿宋_GB2312"/>
                <w:sz w:val="28"/>
                <w:szCs w:val="28"/>
                <w:shd w:val="nil" w:color="auto" w:fill="auto"/>
              </w:rPr>
            </w:pP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zh-TW" w:eastAsia="zh-TW"/>
              </w:rPr>
              <w:t>挑战杯</w:t>
            </w:r>
            <w:r>
              <w:rPr>
                <w:rFonts w:ascii="仿宋_GB2312" w:cs="仿宋_GB2312" w:hAnsi="仿宋_GB2312" w:eastAsia="仿宋_GB2312"/>
                <w:sz w:val="28"/>
                <w:szCs w:val="28"/>
                <w:shd w:val="nil" w:color="auto" w:fill="auto"/>
                <w:rtl w:val="0"/>
                <w:lang w:val="en-US"/>
              </w:rPr>
              <w:t>”</w:t>
            </w:r>
            <w:r>
              <w:rPr>
                <w:rFonts w:ascii="仿宋_GB2312" w:cs="仿宋_GB2312" w:hAnsi="仿宋_GB2312" w:eastAsia="仿宋_GB2312"/>
                <w:sz w:val="28"/>
                <w:szCs w:val="28"/>
                <w:shd w:val="nil" w:color="auto" w:fill="auto"/>
                <w:rtl w:val="0"/>
                <w:lang w:val="zh-TW" w:eastAsia="zh-TW"/>
              </w:rPr>
              <w:t>全国大学生</w:t>
            </w:r>
          </w:p>
          <w:p>
            <w:pPr>
              <w:pStyle w:val="Normal.0"/>
              <w:bidi w:val="0"/>
              <w:ind w:left="0" w:right="0" w:firstLine="0"/>
              <w:jc w:val="center"/>
              <w:rPr>
                <w:rtl w:val="0"/>
              </w:rPr>
            </w:pPr>
            <w:r>
              <w:rPr>
                <w:rFonts w:ascii="仿宋_GB2312" w:cs="仿宋_GB2312" w:hAnsi="仿宋_GB2312" w:eastAsia="仿宋_GB2312"/>
                <w:sz w:val="28"/>
                <w:szCs w:val="28"/>
                <w:shd w:val="nil" w:color="auto" w:fill="auto"/>
                <w:rtl w:val="0"/>
                <w:lang w:val="zh-TW" w:eastAsia="zh-TW"/>
              </w:rPr>
              <w:t>课外学术科技作品竞赛</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1.0</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0.7</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0.5</w:t>
            </w:r>
          </w:p>
        </w:tc>
        <w:tc>
          <w:tcPr>
            <w:tcW w:type="dxa" w:w="112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en-US"/>
              </w:rPr>
              <w:t>0.3</w:t>
            </w:r>
          </w:p>
        </w:tc>
      </w:tr>
      <w:tr>
        <w:tblPrEx>
          <w:shd w:val="clear" w:color="auto" w:fill="cdd4e9"/>
        </w:tblPrEx>
        <w:trPr>
          <w:trHeight w:val="810" w:hRule="atLeast"/>
        </w:trPr>
        <w:tc>
          <w:tcPr>
            <w:tcW w:type="dxa" w:w="8300"/>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Normal.0"/>
              <w:jc w:val="center"/>
            </w:pPr>
            <w:r>
              <w:rPr>
                <w:rFonts w:ascii="仿宋_GB2312" w:cs="仿宋_GB2312" w:hAnsi="仿宋_GB2312" w:eastAsia="仿宋_GB2312"/>
                <w:sz w:val="28"/>
                <w:szCs w:val="28"/>
                <w:shd w:val="nil" w:color="auto" w:fill="auto"/>
                <w:rtl w:val="0"/>
                <w:lang w:val="zh-TW" w:eastAsia="zh-TW"/>
              </w:rPr>
              <w:t>备注：团队自然排名第一乘以系数</w:t>
            </w:r>
            <w:r>
              <w:rPr>
                <w:rFonts w:ascii="仿宋_GB2312" w:cs="仿宋_GB2312" w:hAnsi="仿宋_GB2312" w:eastAsia="仿宋_GB2312"/>
                <w:sz w:val="28"/>
                <w:szCs w:val="28"/>
                <w:shd w:val="nil" w:color="auto" w:fill="auto"/>
                <w:rtl w:val="0"/>
                <w:lang w:val="en-US"/>
              </w:rPr>
              <w:t>1</w:t>
            </w:r>
            <w:r>
              <w:rPr>
                <w:rFonts w:ascii="仿宋_GB2312" w:cs="仿宋_GB2312" w:hAnsi="仿宋_GB2312" w:eastAsia="仿宋_GB2312"/>
                <w:sz w:val="28"/>
                <w:szCs w:val="28"/>
                <w:shd w:val="nil" w:color="auto" w:fill="auto"/>
                <w:rtl w:val="0"/>
                <w:lang w:val="zh-TW" w:eastAsia="zh-TW"/>
              </w:rPr>
              <w:t>，第二乘以系数</w:t>
            </w:r>
            <w:r>
              <w:rPr>
                <w:rFonts w:ascii="仿宋_GB2312" w:cs="仿宋_GB2312" w:hAnsi="仿宋_GB2312" w:eastAsia="仿宋_GB2312"/>
                <w:sz w:val="28"/>
                <w:szCs w:val="28"/>
                <w:shd w:val="nil" w:color="auto" w:fill="auto"/>
                <w:rtl w:val="0"/>
                <w:lang w:val="en-US"/>
              </w:rPr>
              <w:t>0.9</w:t>
            </w:r>
            <w:r>
              <w:rPr>
                <w:rFonts w:ascii="仿宋_GB2312" w:cs="仿宋_GB2312" w:hAnsi="仿宋_GB2312" w:eastAsia="仿宋_GB2312"/>
                <w:sz w:val="28"/>
                <w:szCs w:val="28"/>
                <w:shd w:val="nil" w:color="auto" w:fill="auto"/>
                <w:rtl w:val="0"/>
                <w:lang w:val="zh-TW" w:eastAsia="zh-TW"/>
              </w:rPr>
              <w:t>，第三乘以系数</w:t>
            </w:r>
            <w:r>
              <w:rPr>
                <w:rFonts w:ascii="仿宋_GB2312" w:cs="仿宋_GB2312" w:hAnsi="仿宋_GB2312" w:eastAsia="仿宋_GB2312"/>
                <w:sz w:val="28"/>
                <w:szCs w:val="28"/>
                <w:shd w:val="nil" w:color="auto" w:fill="auto"/>
                <w:rtl w:val="0"/>
                <w:lang w:val="en-US"/>
              </w:rPr>
              <w:t>0.8</w:t>
            </w:r>
          </w:p>
        </w:tc>
      </w:tr>
    </w:tbl>
    <w:p>
      <w:pPr>
        <w:pStyle w:val="Normal.0"/>
        <w:widowControl w:val="0"/>
        <w:jc w:val="center"/>
        <w:rPr>
          <w:rFonts w:ascii="仿宋_GB2312" w:cs="仿宋_GB2312" w:hAnsi="仿宋_GB2312" w:eastAsia="仿宋_GB2312"/>
          <w:outline w:val="0"/>
          <w:color w:val="000000"/>
          <w:sz w:val="32"/>
          <w:szCs w:val="32"/>
          <w:u w:color="000000"/>
          <w14:textFill>
            <w14:solidFill>
              <w14:srgbClr w14:val="000000"/>
            </w14:solidFill>
          </w14:textFill>
        </w:rPr>
      </w:pPr>
    </w:p>
    <w:p>
      <w:pPr>
        <w:pStyle w:val="Normal.0"/>
        <w:spacing w:line="600" w:lineRule="exact"/>
        <w:ind w:firstLine="643"/>
        <w:rPr>
          <w:rFonts w:ascii="楷体_GB2312" w:cs="楷体_GB2312" w:hAnsi="楷体_GB2312" w:eastAsia="楷体_GB2312"/>
          <w:b w:val="1"/>
          <w:bCs w:val="1"/>
          <w:outline w:val="0"/>
          <w:color w:val="333333"/>
          <w:sz w:val="32"/>
          <w:szCs w:val="32"/>
          <w:u w:color="333333"/>
          <w14:textFill>
            <w14:solidFill>
              <w14:srgbClr w14:val="333333"/>
            </w14:solidFill>
          </w14:textFill>
        </w:rPr>
      </w:pP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（三）其他竞赛获奖（上限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0.4</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）和重大体育、艺术比赛（含表演）获奖（上限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0.5</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获其他国家级各类竞赛最高层级奖加</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0.4</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 xml:space="preserve">，第二层级奖加 </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0.2</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 xml:space="preserve">，第三层级奖加 </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0.1</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w:t>
      </w:r>
      <w:bookmarkStart w:name="OLE_LINK1" w:id="1"/>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获</w:t>
      </w:r>
      <w:bookmarkEnd w:id="1"/>
      <w:bookmarkStart w:name="OLE_LINK2" w:id="2"/>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 xml:space="preserve">省级竞赛最高层级奖加 </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0.1</w:t>
      </w:r>
      <w:bookmarkEnd w:id="2"/>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 xml:space="preserve">。竞赛项目参照 </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学校认定的学科竞赛项目</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学科竞赛素质评价加分参照《浙江大学本科生学科竞赛管理办法》（浙大本发</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[2021]20</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号）和《关于公布浙江大学本科生学科竞赛认定项目名单（</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2021</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版）的通知》。</w:t>
      </w:r>
    </w:p>
    <w:p>
      <w:pPr>
        <w:pStyle w:val="Normal.0"/>
        <w:spacing w:line="600" w:lineRule="exact"/>
        <w:ind w:firstLine="640"/>
        <w:jc w:val="both"/>
        <w:rPr>
          <w:rFonts w:ascii="仿宋_GB2312" w:cs="仿宋_GB2312" w:hAnsi="仿宋_GB2312" w:eastAsia="仿宋_GB2312"/>
          <w:outline w:val="0"/>
          <w:color w:val="000000"/>
          <w:sz w:val="32"/>
          <w:szCs w:val="32"/>
          <w:u w:color="000000"/>
          <w:lang w:val="zh-TW" w:eastAsia="zh-TW"/>
          <w14:textFill>
            <w14:solidFill>
              <w14:srgbClr w14:val="000000"/>
            </w14:solidFill>
          </w14:textFill>
        </w:rPr>
      </w:pP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备注：</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en-US"/>
          <w14:textFill>
            <w14:solidFill>
              <w14:srgbClr w14:val="000000"/>
            </w14:solidFill>
          </w14:textFill>
        </w:rPr>
        <w:t>1.</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同一竞赛多次获奖，按最高项加分，不重复累计。</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en-US"/>
          <w14:textFill>
            <w14:solidFill>
              <w14:srgbClr w14:val="000000"/>
            </w14:solidFill>
          </w14:textFill>
        </w:rPr>
        <w:t>2.</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同一成果或作品不重复加分。</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en-US"/>
          <w14:textFill>
            <w14:solidFill>
              <w14:srgbClr w14:val="000000"/>
            </w14:solidFill>
          </w14:textFill>
        </w:rPr>
        <w:t>3.</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学校认定的竞赛以《浙江大学本科生学科竞赛管理办法》（浙大本发</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[2021]20</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号）和《关于公布浙江大学本科生学科竞赛认定项目名单（</w:t>
      </w:r>
      <w:r>
        <w:rPr>
          <w:rFonts w:ascii="仿宋_GB2312" w:cs="仿宋_GB2312" w:hAnsi="仿宋_GB2312" w:eastAsia="仿宋_GB2312"/>
          <w:outline w:val="0"/>
          <w:color w:val="000000"/>
          <w:sz w:val="32"/>
          <w:szCs w:val="32"/>
          <w:u w:color="000000"/>
          <w:rtl w:val="0"/>
          <w:lang w:val="en-US"/>
          <w14:textFill>
            <w14:solidFill>
              <w14:srgbClr w14:val="000000"/>
            </w14:solidFill>
          </w14:textFill>
        </w:rPr>
        <w:t>2021</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版）的通知》为准。</w:t>
      </w:r>
      <w:r>
        <w:rPr>
          <w:rFonts w:ascii="仿宋_GB2312" w:cs="仿宋_GB2312" w:hAnsi="仿宋_GB2312" w:eastAsia="仿宋_GB2312"/>
          <w:b w:val="1"/>
          <w:bCs w:val="1"/>
          <w:sz w:val="32"/>
          <w:szCs w:val="32"/>
          <w:rtl w:val="0"/>
          <w:lang w:val="zh-TW" w:eastAsia="zh-TW"/>
        </w:rPr>
        <w:t>权重为第一完成人</w:t>
      </w:r>
      <w:r>
        <w:rPr>
          <w:rFonts w:ascii="仿宋_GB2312" w:cs="仿宋_GB2312" w:hAnsi="仿宋_GB2312" w:eastAsia="仿宋_GB2312"/>
          <w:b w:val="1"/>
          <w:bCs w:val="1"/>
          <w:sz w:val="32"/>
          <w:szCs w:val="32"/>
          <w:rtl w:val="0"/>
          <w:lang w:val="en-US"/>
        </w:rPr>
        <w:t>1.0</w:t>
      </w:r>
      <w:r>
        <w:rPr>
          <w:rFonts w:ascii="仿宋_GB2312" w:cs="仿宋_GB2312" w:hAnsi="仿宋_GB2312" w:eastAsia="仿宋_GB2312"/>
          <w:b w:val="1"/>
          <w:bCs w:val="1"/>
          <w:sz w:val="32"/>
          <w:szCs w:val="32"/>
          <w:rtl w:val="0"/>
          <w:lang w:val="zh-TW" w:eastAsia="zh-TW"/>
        </w:rPr>
        <w:t>，第二完成人</w:t>
      </w:r>
      <w:r>
        <w:rPr>
          <w:rFonts w:ascii="仿宋_GB2312" w:cs="仿宋_GB2312" w:hAnsi="仿宋_GB2312" w:eastAsia="仿宋_GB2312"/>
          <w:b w:val="1"/>
          <w:bCs w:val="1"/>
          <w:sz w:val="32"/>
          <w:szCs w:val="32"/>
          <w:rtl w:val="0"/>
          <w:lang w:val="en-US"/>
        </w:rPr>
        <w:t>0.9</w:t>
      </w:r>
      <w:r>
        <w:rPr>
          <w:rFonts w:ascii="仿宋_GB2312" w:cs="仿宋_GB2312" w:hAnsi="仿宋_GB2312" w:eastAsia="仿宋_GB2312"/>
          <w:b w:val="1"/>
          <w:bCs w:val="1"/>
          <w:sz w:val="32"/>
          <w:szCs w:val="32"/>
          <w:rtl w:val="0"/>
          <w:lang w:val="zh-TW" w:eastAsia="zh-TW"/>
        </w:rPr>
        <w:t>，第三完成人</w:t>
      </w:r>
      <w:r>
        <w:rPr>
          <w:rFonts w:ascii="仿宋_GB2312" w:cs="仿宋_GB2312" w:hAnsi="仿宋_GB2312" w:eastAsia="仿宋_GB2312"/>
          <w:b w:val="1"/>
          <w:bCs w:val="1"/>
          <w:sz w:val="32"/>
          <w:szCs w:val="32"/>
          <w:rtl w:val="0"/>
          <w:lang w:val="en-US"/>
        </w:rPr>
        <w:t>0.8</w:t>
      </w:r>
      <w:r>
        <w:rPr>
          <w:rFonts w:ascii="仿宋_GB2312" w:cs="仿宋_GB2312" w:hAnsi="仿宋_GB2312" w:eastAsia="仿宋_GB2312"/>
          <w:b w:val="1"/>
          <w:bCs w:val="1"/>
          <w:sz w:val="32"/>
          <w:szCs w:val="32"/>
          <w:rtl w:val="0"/>
          <w:lang w:val="zh-TW" w:eastAsia="zh-TW"/>
        </w:rPr>
        <w:t>。</w:t>
      </w:r>
    </w:p>
    <w:p>
      <w:pPr>
        <w:pStyle w:val="Normal.0"/>
        <w:spacing w:line="600" w:lineRule="exact"/>
        <w:ind w:firstLine="640"/>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outline w:val="0"/>
          <w:color w:val="000000"/>
          <w:sz w:val="32"/>
          <w:szCs w:val="32"/>
          <w:u w:color="000000"/>
          <w:rtl w:val="0"/>
          <w:lang w:val="en-US"/>
          <w14:textFill>
            <w14:solidFill>
              <w14:srgbClr w14:val="000000"/>
            </w14:solidFill>
          </w14:textFill>
        </w:rPr>
        <w:t>4.</w:t>
      </w:r>
      <w:r>
        <w:rPr>
          <w:rFonts w:ascii="仿宋_GB2312" w:cs="仿宋_GB2312" w:hAnsi="仿宋_GB2312" w:eastAsia="仿宋_GB2312"/>
          <w:outline w:val="0"/>
          <w:color w:val="000000"/>
          <w:sz w:val="32"/>
          <w:szCs w:val="32"/>
          <w:u w:color="000000"/>
          <w:rtl w:val="0"/>
          <w:lang w:val="zh-TW" w:eastAsia="zh-TW"/>
          <w14:textFill>
            <w14:solidFill>
              <w14:srgbClr w14:val="000000"/>
            </w14:solidFill>
          </w14:textFill>
        </w:rPr>
        <w:t>学院认定的竞赛包括：浙江省大学生物理科技创新竞赛等。</w:t>
      </w:r>
    </w:p>
    <w:p>
      <w:pPr>
        <w:pStyle w:val="Normal.0"/>
        <w:spacing w:line="600" w:lineRule="exact"/>
        <w:ind w:firstLine="643"/>
        <w:jc w:val="both"/>
        <w:rPr>
          <w:rFonts w:ascii="仿宋_GB2312" w:cs="仿宋_GB2312" w:hAnsi="仿宋_GB2312" w:eastAsia="仿宋_GB2312"/>
          <w:outline w:val="0"/>
          <w:color w:val="000000"/>
          <w:sz w:val="32"/>
          <w:szCs w:val="32"/>
          <w:u w:color="000000"/>
          <w14:textFill>
            <w14:solidFill>
              <w14:srgbClr w14:val="000000"/>
            </w14:solidFill>
          </w14:textFill>
        </w:rPr>
      </w:pPr>
      <w:r>
        <w:rPr>
          <w:rFonts w:ascii="仿宋_GB2312" w:cs="仿宋_GB2312" w:hAnsi="仿宋_GB2312" w:eastAsia="仿宋_GB2312"/>
          <w:b w:val="1"/>
          <w:bCs w:val="1"/>
          <w:sz w:val="32"/>
          <w:szCs w:val="32"/>
          <w:rtl w:val="0"/>
          <w:lang w:val="en-US"/>
        </w:rPr>
        <w:t>5.</w:t>
      </w:r>
      <w:r>
        <w:rPr>
          <w:rFonts w:ascii="仿宋_GB2312" w:cs="仿宋_GB2312" w:hAnsi="仿宋_GB2312" w:eastAsia="仿宋_GB2312"/>
          <w:b w:val="1"/>
          <w:bCs w:val="1"/>
          <w:sz w:val="32"/>
          <w:szCs w:val="32"/>
          <w:rtl w:val="0"/>
          <w:lang w:val="zh-TW" w:eastAsia="zh-TW"/>
        </w:rPr>
        <w:t>排名权重：由于中国大学生物理学术竞赛获奖团队无自然排名，获奖队员权重均为</w:t>
      </w:r>
      <w:r>
        <w:rPr>
          <w:rFonts w:ascii="仿宋_GB2312" w:cs="仿宋_GB2312" w:hAnsi="仿宋_GB2312" w:eastAsia="仿宋_GB2312"/>
          <w:b w:val="1"/>
          <w:bCs w:val="1"/>
          <w:sz w:val="32"/>
          <w:szCs w:val="32"/>
          <w:rtl w:val="0"/>
          <w:lang w:val="en-US"/>
        </w:rPr>
        <w:t>1.0</w:t>
      </w:r>
      <w:r>
        <w:rPr>
          <w:rFonts w:ascii="仿宋_GB2312" w:cs="仿宋_GB2312" w:hAnsi="仿宋_GB2312" w:eastAsia="仿宋_GB2312"/>
          <w:b w:val="1"/>
          <w:bCs w:val="1"/>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重大体育、重大艺术比赛（含表演）获奖赋分，参照参照《关于进一步完善推荐优秀应届本科毕业生免试攻读研究生工作的通知》（浙大发本〔</w:t>
      </w:r>
      <w:r>
        <w:rPr>
          <w:rFonts w:ascii="仿宋_GB2312" w:cs="仿宋_GB2312" w:hAnsi="仿宋_GB2312" w:eastAsia="仿宋_GB2312"/>
          <w:sz w:val="32"/>
          <w:szCs w:val="32"/>
          <w:rtl w:val="0"/>
          <w:lang w:val="en-US"/>
        </w:rPr>
        <w:t>2023</w:t>
      </w: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6</w:t>
      </w:r>
      <w:r>
        <w:rPr>
          <w:rFonts w:ascii="仿宋_GB2312" w:cs="仿宋_GB2312" w:hAnsi="仿宋_GB2312" w:eastAsia="仿宋_GB2312"/>
          <w:sz w:val="32"/>
          <w:szCs w:val="32"/>
          <w:rtl w:val="0"/>
          <w:lang w:val="zh-TW" w:eastAsia="zh-TW"/>
        </w:rPr>
        <w:t xml:space="preserve">号）清单，结合学院实际，省级及以上重大体育比赛、艺术比赛（含表演）获奖，加相应级别加分上限的 </w:t>
      </w:r>
      <w:r>
        <w:rPr>
          <w:rFonts w:ascii="仿宋_GB2312" w:cs="仿宋_GB2312" w:hAnsi="仿宋_GB2312" w:eastAsia="仿宋_GB2312"/>
          <w:sz w:val="32"/>
          <w:szCs w:val="32"/>
          <w:rtl w:val="0"/>
          <w:lang w:val="en-US"/>
        </w:rPr>
        <w:t>50%</w:t>
      </w:r>
      <w:r>
        <w:rPr>
          <w:rFonts w:ascii="仿宋_GB2312" w:cs="仿宋_GB2312" w:hAnsi="仿宋_GB2312" w:eastAsia="仿宋_GB2312"/>
          <w:sz w:val="32"/>
          <w:szCs w:val="32"/>
          <w:rtl w:val="0"/>
          <w:lang w:val="zh-TW" w:eastAsia="zh-TW"/>
        </w:rPr>
        <w:t>。</w:t>
      </w:r>
    </w:p>
    <w:p>
      <w:pPr>
        <w:pStyle w:val="Normal.0"/>
        <w:spacing w:line="600" w:lineRule="exact"/>
        <w:ind w:firstLine="643"/>
        <w:rPr>
          <w:rFonts w:ascii="楷体_GB2312" w:cs="楷体_GB2312" w:hAnsi="楷体_GB2312" w:eastAsia="楷体_GB2312"/>
          <w:b w:val="1"/>
          <w:bCs w:val="1"/>
          <w:outline w:val="0"/>
          <w:color w:val="333333"/>
          <w:sz w:val="32"/>
          <w:szCs w:val="32"/>
          <w:u w:color="333333"/>
          <w14:textFill>
            <w14:solidFill>
              <w14:srgbClr w14:val="333333"/>
            </w14:solidFill>
          </w14:textFill>
        </w:rPr>
      </w:pP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（四）参军入伍服兵役（上限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1.0</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在部队荣立二等功及以上加</w:t>
      </w:r>
      <w:r>
        <w:rPr>
          <w:rFonts w:ascii="仿宋_GB2312" w:cs="仿宋_GB2312" w:hAnsi="仿宋_GB2312" w:eastAsia="仿宋_GB2312"/>
          <w:sz w:val="32"/>
          <w:szCs w:val="32"/>
          <w:rtl w:val="0"/>
          <w:lang w:val="en-US"/>
        </w:rPr>
        <w:t>1.0</w:t>
      </w:r>
      <w:r>
        <w:rPr>
          <w:rFonts w:ascii="仿宋_GB2312" w:cs="仿宋_GB2312" w:hAnsi="仿宋_GB2312" w:eastAsia="仿宋_GB2312"/>
          <w:sz w:val="32"/>
          <w:szCs w:val="32"/>
          <w:rtl w:val="0"/>
          <w:lang w:val="zh-TW" w:eastAsia="zh-TW"/>
        </w:rPr>
        <w:t>；三等功加</w:t>
      </w:r>
      <w:r>
        <w:rPr>
          <w:rFonts w:ascii="仿宋_GB2312" w:cs="仿宋_GB2312" w:hAnsi="仿宋_GB2312" w:eastAsia="仿宋_GB2312"/>
          <w:sz w:val="32"/>
          <w:szCs w:val="32"/>
          <w:rtl w:val="0"/>
          <w:lang w:val="en-US"/>
        </w:rPr>
        <w:t>0.5</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学生在服役期荣获嘉奖、</w:t>
      </w:r>
      <w:r>
        <w:rPr>
          <w:rFonts w:ascii="仿宋_GB2312" w:cs="仿宋_GB2312" w:hAnsi="仿宋_GB2312" w:eastAsia="仿宋_GB2312"/>
          <w:sz w:val="32"/>
          <w:szCs w:val="32"/>
          <w:rtl w:val="0"/>
          <w:lang w:val="en-US"/>
        </w:rPr>
        <w:t>“</w:t>
      </w:r>
      <w:r>
        <w:rPr>
          <w:rFonts w:ascii="仿宋_GB2312" w:cs="仿宋_GB2312" w:hAnsi="仿宋_GB2312" w:eastAsia="仿宋_GB2312"/>
          <w:sz w:val="32"/>
          <w:szCs w:val="32"/>
          <w:rtl w:val="0"/>
          <w:lang w:val="zh-TW" w:eastAsia="zh-TW"/>
        </w:rPr>
        <w:t>四有</w:t>
      </w:r>
      <w:r>
        <w:rPr>
          <w:rFonts w:ascii="仿宋_GB2312" w:cs="仿宋_GB2312" w:hAnsi="仿宋_GB2312" w:eastAsia="仿宋_GB2312"/>
          <w:sz w:val="32"/>
          <w:szCs w:val="32"/>
          <w:rtl w:val="0"/>
          <w:lang w:val="en-US"/>
        </w:rPr>
        <w:t>”</w:t>
      </w:r>
      <w:r>
        <w:rPr>
          <w:rFonts w:ascii="仿宋_GB2312" w:cs="仿宋_GB2312" w:hAnsi="仿宋_GB2312" w:eastAsia="仿宋_GB2312"/>
          <w:sz w:val="32"/>
          <w:szCs w:val="32"/>
          <w:rtl w:val="0"/>
          <w:lang w:val="zh-TW" w:eastAsia="zh-TW"/>
        </w:rPr>
        <w:t>优秀士兵嘉奖加</w:t>
      </w:r>
      <w:r>
        <w:rPr>
          <w:rFonts w:ascii="仿宋_GB2312" w:cs="仿宋_GB2312" w:hAnsi="仿宋_GB2312" w:eastAsia="仿宋_GB2312"/>
          <w:sz w:val="32"/>
          <w:szCs w:val="32"/>
          <w:rtl w:val="0"/>
          <w:lang w:val="en-US"/>
        </w:rPr>
        <w:t>0.2</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普通参军入伍服兵役加分</w:t>
      </w:r>
      <w:r>
        <w:rPr>
          <w:rFonts w:ascii="仿宋_GB2312" w:cs="仿宋_GB2312" w:hAnsi="仿宋_GB2312" w:eastAsia="仿宋_GB2312"/>
          <w:sz w:val="32"/>
          <w:szCs w:val="32"/>
          <w:rtl w:val="0"/>
          <w:lang w:val="en-US"/>
        </w:rPr>
        <w:t>0.1</w:t>
      </w:r>
      <w:r>
        <w:rPr>
          <w:rFonts w:ascii="仿宋_GB2312" w:cs="仿宋_GB2312" w:hAnsi="仿宋_GB2312" w:eastAsia="仿宋_GB2312"/>
          <w:sz w:val="32"/>
          <w:szCs w:val="32"/>
          <w:rtl w:val="0"/>
          <w:lang w:val="zh-TW" w:eastAsia="zh-TW"/>
        </w:rPr>
        <w:t>。</w:t>
      </w:r>
    </w:p>
    <w:p>
      <w:pPr>
        <w:pStyle w:val="Normal.0"/>
        <w:spacing w:line="600" w:lineRule="exact"/>
        <w:ind w:firstLine="643"/>
        <w:rPr>
          <w:rFonts w:ascii="楷体_GB2312" w:cs="楷体_GB2312" w:hAnsi="楷体_GB2312" w:eastAsia="楷体_GB2312"/>
          <w:b w:val="1"/>
          <w:bCs w:val="1"/>
          <w:outline w:val="0"/>
          <w:color w:val="333333"/>
          <w:sz w:val="32"/>
          <w:szCs w:val="32"/>
          <w:u w:color="333333"/>
          <w14:textFill>
            <w14:solidFill>
              <w14:srgbClr w14:val="333333"/>
            </w14:solidFill>
          </w14:textFill>
        </w:rPr>
      </w:pP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（五）志愿服务（上限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0.04</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）、社会服务（上限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0.05</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）及荣誉获奖（上限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0.05</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w:t>
      </w:r>
    </w:p>
    <w:p>
      <w:pPr>
        <w:pStyle w:val="Normal.0"/>
        <w:spacing w:line="600" w:lineRule="exact"/>
        <w:ind w:firstLine="643"/>
        <w:jc w:val="both"/>
        <w:rPr>
          <w:rFonts w:ascii="仿宋_GB2312" w:cs="仿宋_GB2312" w:hAnsi="仿宋_GB2312" w:eastAsia="仿宋_GB2312"/>
          <w:sz w:val="32"/>
          <w:szCs w:val="32"/>
        </w:rPr>
      </w:pPr>
      <w:r>
        <w:rPr>
          <w:rFonts w:ascii="仿宋_GB2312" w:cs="仿宋_GB2312" w:hAnsi="仿宋_GB2312" w:eastAsia="仿宋_GB2312"/>
          <w:b w:val="1"/>
          <w:bCs w:val="1"/>
          <w:sz w:val="32"/>
          <w:szCs w:val="32"/>
          <w:rtl w:val="0"/>
          <w:lang w:val="en-US"/>
        </w:rPr>
        <w:t>1.</w:t>
      </w:r>
      <w:r>
        <w:rPr>
          <w:rFonts w:ascii="仿宋_GB2312" w:cs="仿宋_GB2312" w:hAnsi="仿宋_GB2312" w:eastAsia="仿宋_GB2312"/>
          <w:b w:val="1"/>
          <w:bCs w:val="1"/>
          <w:sz w:val="32"/>
          <w:szCs w:val="32"/>
          <w:rtl w:val="0"/>
          <w:lang w:val="zh-TW" w:eastAsia="zh-TW"/>
        </w:rPr>
        <w:t>志愿服务：</w:t>
      </w:r>
      <w:r>
        <w:rPr>
          <w:rFonts w:ascii="仿宋_GB2312" w:cs="仿宋_GB2312" w:hAnsi="仿宋_GB2312" w:eastAsia="仿宋_GB2312"/>
          <w:sz w:val="32"/>
          <w:szCs w:val="32"/>
          <w:rtl w:val="0"/>
          <w:lang w:val="zh-TW" w:eastAsia="zh-TW"/>
        </w:rPr>
        <w:t xml:space="preserve">根据浙江大学志愿者星级认定为依据，采取阶梯式加分方式对志愿服务进行加分。具体分值如下： </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五星级志愿者加</w:t>
      </w:r>
      <w:r>
        <w:rPr>
          <w:rFonts w:ascii="仿宋_GB2312" w:cs="仿宋_GB2312" w:hAnsi="仿宋_GB2312" w:eastAsia="仿宋_GB2312"/>
          <w:sz w:val="32"/>
          <w:szCs w:val="32"/>
          <w:rtl w:val="0"/>
          <w:lang w:val="en-US"/>
        </w:rPr>
        <w:t>0.04</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四星级志愿者加</w:t>
      </w:r>
      <w:r>
        <w:rPr>
          <w:rFonts w:ascii="仿宋_GB2312" w:cs="仿宋_GB2312" w:hAnsi="仿宋_GB2312" w:eastAsia="仿宋_GB2312"/>
          <w:sz w:val="32"/>
          <w:szCs w:val="32"/>
          <w:rtl w:val="0"/>
          <w:lang w:val="en-US"/>
        </w:rPr>
        <w:t>0.03</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三星级志愿者的加</w:t>
      </w:r>
      <w:r>
        <w:rPr>
          <w:rFonts w:ascii="仿宋_GB2312" w:cs="仿宋_GB2312" w:hAnsi="仿宋_GB2312" w:eastAsia="仿宋_GB2312"/>
          <w:sz w:val="32"/>
          <w:szCs w:val="32"/>
          <w:rtl w:val="0"/>
          <w:lang w:val="en-US"/>
        </w:rPr>
        <w:t>0.02</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二星级志愿者的加</w:t>
      </w:r>
      <w:r>
        <w:rPr>
          <w:rFonts w:ascii="仿宋_GB2312" w:cs="仿宋_GB2312" w:hAnsi="仿宋_GB2312" w:eastAsia="仿宋_GB2312"/>
          <w:sz w:val="32"/>
          <w:szCs w:val="32"/>
          <w:rtl w:val="0"/>
          <w:lang w:val="en-US"/>
        </w:rPr>
        <w:t>0.01</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一星级志愿者的加</w:t>
      </w:r>
      <w:r>
        <w:rPr>
          <w:rFonts w:ascii="仿宋_GB2312" w:cs="仿宋_GB2312" w:hAnsi="仿宋_GB2312" w:eastAsia="仿宋_GB2312"/>
          <w:sz w:val="32"/>
          <w:szCs w:val="32"/>
          <w:rtl w:val="0"/>
          <w:lang w:val="en-US"/>
        </w:rPr>
        <w:t>0.005</w:t>
      </w:r>
      <w:r>
        <w:rPr>
          <w:rFonts w:ascii="仿宋_GB2312" w:cs="仿宋_GB2312" w:hAnsi="仿宋_GB2312" w:eastAsia="仿宋_GB2312"/>
          <w:sz w:val="32"/>
          <w:szCs w:val="32"/>
          <w:rtl w:val="0"/>
          <w:lang w:val="zh-TW" w:eastAsia="zh-TW"/>
        </w:rPr>
        <w:t>。</w:t>
      </w:r>
    </w:p>
    <w:p>
      <w:pPr>
        <w:pStyle w:val="Normal.0"/>
        <w:spacing w:line="600" w:lineRule="exact"/>
        <w:ind w:firstLine="643"/>
        <w:jc w:val="both"/>
        <w:rPr>
          <w:rFonts w:ascii="仿宋_GB2312" w:cs="仿宋_GB2312" w:hAnsi="仿宋_GB2312" w:eastAsia="仿宋_GB2312"/>
          <w:sz w:val="32"/>
          <w:szCs w:val="32"/>
        </w:rPr>
      </w:pPr>
      <w:r>
        <w:rPr>
          <w:rFonts w:ascii="仿宋_GB2312" w:cs="仿宋_GB2312" w:hAnsi="仿宋_GB2312" w:eastAsia="仿宋_GB2312"/>
          <w:b w:val="1"/>
          <w:bCs w:val="1"/>
          <w:sz w:val="32"/>
          <w:szCs w:val="32"/>
          <w:rtl w:val="0"/>
          <w:lang w:val="en-US"/>
        </w:rPr>
        <w:t>2.</w:t>
      </w:r>
      <w:r>
        <w:rPr>
          <w:rFonts w:ascii="仿宋_GB2312" w:cs="仿宋_GB2312" w:hAnsi="仿宋_GB2312" w:eastAsia="仿宋_GB2312"/>
          <w:b w:val="1"/>
          <w:bCs w:val="1"/>
          <w:sz w:val="32"/>
          <w:szCs w:val="32"/>
          <w:rtl w:val="0"/>
          <w:lang w:val="zh-TW" w:eastAsia="zh-TW"/>
        </w:rPr>
        <w:t>社会服务：</w:t>
      </w:r>
      <w:r>
        <w:rPr>
          <w:rFonts w:ascii="仿宋_GB2312" w:cs="仿宋_GB2312" w:hAnsi="仿宋_GB2312" w:eastAsia="仿宋_GB2312"/>
          <w:sz w:val="32"/>
          <w:szCs w:val="32"/>
          <w:rtl w:val="0"/>
          <w:lang w:val="zh-TW" w:eastAsia="zh-TW"/>
        </w:rPr>
        <w:t xml:space="preserve">担任校、院等团学骨干且考核合格以上进行加分，具体分值如下： </w:t>
      </w:r>
    </w:p>
    <w:p>
      <w:pPr>
        <w:pStyle w:val="Normal.0"/>
        <w:spacing w:line="600" w:lineRule="exact"/>
        <w:ind w:firstLine="640"/>
        <w:jc w:val="both"/>
        <w:rPr>
          <w:rFonts w:ascii="仿宋_GB2312" w:cs="仿宋_GB2312" w:hAnsi="仿宋_GB2312" w:eastAsia="仿宋_GB2312"/>
          <w:outline w:val="0"/>
          <w:color w:val="ff0000"/>
          <w:sz w:val="32"/>
          <w:szCs w:val="32"/>
          <w:u w:color="ff0000"/>
          <w14:textFill>
            <w14:solidFill>
              <w14:srgbClr w14:val="FF0000"/>
            </w14:solidFill>
          </w14:textFill>
        </w:rPr>
      </w:pP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1</w:t>
      </w:r>
      <w:r>
        <w:rPr>
          <w:rFonts w:ascii="仿宋_GB2312" w:cs="仿宋_GB2312" w:hAnsi="仿宋_GB2312" w:eastAsia="仿宋_GB2312"/>
          <w:sz w:val="32"/>
          <w:szCs w:val="32"/>
          <w:rtl w:val="0"/>
          <w:lang w:val="zh-TW" w:eastAsia="zh-TW"/>
        </w:rPr>
        <w:t>）担任一年及以上的校（院）学生会（学生组织）主席团、兼职辅导员、兼职团委副书记、学院党支部书记、四星级及以上社团主要负责人（社长或相当职务）的学生干部，考核合格及以上加</w:t>
      </w:r>
      <w:r>
        <w:rPr>
          <w:rFonts w:ascii="仿宋_GB2312" w:cs="仿宋_GB2312" w:hAnsi="仿宋_GB2312" w:eastAsia="仿宋_GB2312"/>
          <w:sz w:val="32"/>
          <w:szCs w:val="32"/>
          <w:rtl w:val="0"/>
          <w:lang w:val="en-US"/>
        </w:rPr>
        <w:t>0.05</w:t>
      </w:r>
      <w:r>
        <w:rPr>
          <w:rFonts w:ascii="仿宋_GB2312" w:cs="仿宋_GB2312" w:hAnsi="仿宋_GB2312" w:eastAsia="仿宋_GB2312"/>
          <w:sz w:val="32"/>
          <w:szCs w:val="32"/>
          <w:rtl w:val="0"/>
          <w:lang w:val="zh-TW" w:eastAsia="zh-TW"/>
        </w:rPr>
        <w:t>，不合格的不加分。</w:t>
      </w:r>
    </w:p>
    <w:p>
      <w:pPr>
        <w:pStyle w:val="Normal.0"/>
        <w:spacing w:line="600" w:lineRule="exact"/>
        <w:ind w:firstLine="640"/>
        <w:jc w:val="both"/>
        <w:rPr>
          <w:rFonts w:ascii="仿宋_GB2312" w:cs="仿宋_GB2312" w:hAnsi="仿宋_GB2312" w:eastAsia="仿宋_GB2312"/>
          <w:outline w:val="0"/>
          <w:color w:val="ff0000"/>
          <w:sz w:val="32"/>
          <w:szCs w:val="32"/>
          <w:u w:color="ff0000"/>
          <w14:textFill>
            <w14:solidFill>
              <w14:srgbClr w14:val="FF0000"/>
            </w14:solidFill>
          </w14:textFill>
        </w:rPr>
      </w:pP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2</w:t>
      </w:r>
      <w:r>
        <w:rPr>
          <w:rFonts w:ascii="仿宋_GB2312" w:cs="仿宋_GB2312" w:hAnsi="仿宋_GB2312" w:eastAsia="仿宋_GB2312"/>
          <w:sz w:val="32"/>
          <w:szCs w:val="32"/>
          <w:rtl w:val="0"/>
          <w:lang w:val="zh-TW" w:eastAsia="zh-TW"/>
        </w:rPr>
        <w:t>）担任一年及以上班长、团支书，考核合格及以上加</w:t>
      </w:r>
      <w:r>
        <w:rPr>
          <w:rFonts w:ascii="仿宋_GB2312" w:cs="仿宋_GB2312" w:hAnsi="仿宋_GB2312" w:eastAsia="仿宋_GB2312"/>
          <w:sz w:val="32"/>
          <w:szCs w:val="32"/>
          <w:rtl w:val="0"/>
          <w:lang w:val="en-US"/>
        </w:rPr>
        <w:t>0.03</w:t>
      </w:r>
      <w:r>
        <w:rPr>
          <w:rFonts w:ascii="仿宋_GB2312" w:cs="仿宋_GB2312" w:hAnsi="仿宋_GB2312" w:eastAsia="仿宋_GB2312"/>
          <w:sz w:val="32"/>
          <w:szCs w:val="32"/>
          <w:rtl w:val="0"/>
          <w:lang w:val="zh-TW" w:eastAsia="zh-TW"/>
        </w:rPr>
        <w:t>，不合格的不加分。</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3</w:t>
      </w:r>
      <w:r>
        <w:rPr>
          <w:rFonts w:ascii="仿宋_GB2312" w:cs="仿宋_GB2312" w:hAnsi="仿宋_GB2312" w:eastAsia="仿宋_GB2312"/>
          <w:sz w:val="32"/>
          <w:szCs w:val="32"/>
          <w:rtl w:val="0"/>
          <w:lang w:val="zh-TW" w:eastAsia="zh-TW"/>
        </w:rPr>
        <w:t>）担任一年及以上党支部支委、学生组织社团部长团（或相当职务）、班团委员（除班长、团支书外），考核合格及以上加</w:t>
      </w:r>
      <w:r>
        <w:rPr>
          <w:rFonts w:ascii="仿宋_GB2312" w:cs="仿宋_GB2312" w:hAnsi="仿宋_GB2312" w:eastAsia="仿宋_GB2312"/>
          <w:sz w:val="32"/>
          <w:szCs w:val="32"/>
          <w:rtl w:val="0"/>
          <w:lang w:val="en-US"/>
        </w:rPr>
        <w:t>0.01</w:t>
      </w:r>
      <w:r>
        <w:rPr>
          <w:rFonts w:ascii="仿宋_GB2312" w:cs="仿宋_GB2312" w:hAnsi="仿宋_GB2312" w:eastAsia="仿宋_GB2312"/>
          <w:sz w:val="32"/>
          <w:szCs w:val="32"/>
          <w:rtl w:val="0"/>
          <w:lang w:val="zh-TW" w:eastAsia="zh-TW"/>
        </w:rPr>
        <w:t>，不合格的不加分。</w:t>
      </w:r>
    </w:p>
    <w:p>
      <w:pPr>
        <w:pStyle w:val="Normal.0"/>
        <w:spacing w:line="600" w:lineRule="exact"/>
        <w:ind w:firstLine="643"/>
        <w:jc w:val="both"/>
        <w:rPr>
          <w:rFonts w:ascii="仿宋_GB2312" w:cs="仿宋_GB2312" w:hAnsi="仿宋_GB2312" w:eastAsia="仿宋_GB2312"/>
          <w:b w:val="1"/>
          <w:bCs w:val="1"/>
          <w:sz w:val="32"/>
          <w:szCs w:val="32"/>
          <w:lang w:val="zh-TW" w:eastAsia="zh-TW"/>
        </w:rPr>
      </w:pPr>
      <w:r>
        <w:rPr>
          <w:rFonts w:ascii="仿宋_GB2312" w:cs="仿宋_GB2312" w:hAnsi="仿宋_GB2312" w:eastAsia="仿宋_GB2312"/>
          <w:b w:val="1"/>
          <w:bCs w:val="1"/>
          <w:sz w:val="32"/>
          <w:szCs w:val="32"/>
          <w:rtl w:val="0"/>
          <w:lang w:val="zh-TW" w:eastAsia="zh-TW"/>
        </w:rPr>
        <w:t>此项加分就高统计，不累计加分。</w:t>
      </w:r>
    </w:p>
    <w:p>
      <w:pPr>
        <w:pStyle w:val="Normal.0"/>
        <w:spacing w:line="600" w:lineRule="exact"/>
        <w:ind w:firstLine="643"/>
        <w:jc w:val="both"/>
        <w:rPr>
          <w:rFonts w:ascii="仿宋_GB2312" w:cs="仿宋_GB2312" w:hAnsi="仿宋_GB2312" w:eastAsia="仿宋_GB2312"/>
          <w:b w:val="1"/>
          <w:bCs w:val="1"/>
          <w:sz w:val="32"/>
          <w:szCs w:val="32"/>
        </w:rPr>
      </w:pPr>
      <w:r>
        <w:rPr>
          <w:rFonts w:ascii="仿宋_GB2312" w:cs="仿宋_GB2312" w:hAnsi="仿宋_GB2312" w:eastAsia="仿宋_GB2312"/>
          <w:b w:val="1"/>
          <w:bCs w:val="1"/>
          <w:sz w:val="32"/>
          <w:szCs w:val="32"/>
          <w:rtl w:val="0"/>
          <w:lang w:val="en-US"/>
        </w:rPr>
        <w:t>3.</w:t>
      </w:r>
      <w:r>
        <w:rPr>
          <w:rFonts w:ascii="仿宋_GB2312" w:cs="仿宋_GB2312" w:hAnsi="仿宋_GB2312" w:eastAsia="仿宋_GB2312"/>
          <w:b w:val="1"/>
          <w:bCs w:val="1"/>
          <w:sz w:val="32"/>
          <w:szCs w:val="32"/>
          <w:rtl w:val="0"/>
          <w:lang w:val="zh-TW" w:eastAsia="zh-TW"/>
        </w:rPr>
        <w:t>荣誉获奖</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1</w:t>
      </w:r>
      <w:r>
        <w:rPr>
          <w:rFonts w:ascii="仿宋_GB2312" w:cs="仿宋_GB2312" w:hAnsi="仿宋_GB2312" w:eastAsia="仿宋_GB2312"/>
          <w:sz w:val="32"/>
          <w:szCs w:val="32"/>
          <w:rtl w:val="0"/>
          <w:lang w:val="zh-TW" w:eastAsia="zh-TW"/>
        </w:rPr>
        <w:t>）获得国家级社会工作荣誉加</w:t>
      </w:r>
      <w:r>
        <w:rPr>
          <w:rFonts w:ascii="仿宋_GB2312" w:cs="仿宋_GB2312" w:hAnsi="仿宋_GB2312" w:eastAsia="仿宋_GB2312"/>
          <w:sz w:val="32"/>
          <w:szCs w:val="32"/>
          <w:rtl w:val="0"/>
          <w:lang w:val="en-US"/>
        </w:rPr>
        <w:t>0.05</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2</w:t>
      </w:r>
      <w:r>
        <w:rPr>
          <w:rFonts w:ascii="仿宋_GB2312" w:cs="仿宋_GB2312" w:hAnsi="仿宋_GB2312" w:eastAsia="仿宋_GB2312"/>
          <w:sz w:val="32"/>
          <w:szCs w:val="32"/>
          <w:rtl w:val="0"/>
          <w:lang w:val="zh-TW" w:eastAsia="zh-TW"/>
        </w:rPr>
        <w:t>）获得省部级社会工作荣誉加</w:t>
      </w:r>
      <w:r>
        <w:rPr>
          <w:rFonts w:ascii="仿宋_GB2312" w:cs="仿宋_GB2312" w:hAnsi="仿宋_GB2312" w:eastAsia="仿宋_GB2312"/>
          <w:sz w:val="32"/>
          <w:szCs w:val="32"/>
          <w:rtl w:val="0"/>
          <w:lang w:val="en-US"/>
        </w:rPr>
        <w:t>0.03</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w:t>
      </w:r>
      <w:r>
        <w:rPr>
          <w:rFonts w:ascii="仿宋_GB2312" w:cs="仿宋_GB2312" w:hAnsi="仿宋_GB2312" w:eastAsia="仿宋_GB2312"/>
          <w:sz w:val="32"/>
          <w:szCs w:val="32"/>
          <w:rtl w:val="0"/>
          <w:lang w:val="en-US"/>
        </w:rPr>
        <w:t>3</w:t>
      </w:r>
      <w:r>
        <w:rPr>
          <w:rFonts w:ascii="仿宋_GB2312" w:cs="仿宋_GB2312" w:hAnsi="仿宋_GB2312" w:eastAsia="仿宋_GB2312"/>
          <w:sz w:val="32"/>
          <w:szCs w:val="32"/>
          <w:rtl w:val="0"/>
          <w:lang w:val="zh-TW" w:eastAsia="zh-TW"/>
        </w:rPr>
        <w:t>）校级及以上社会工作荣誉一次（优秀共产党员、十佳大学生、优秀学生干部、优秀团干部、优秀团员、优秀学生、暑期社会实践先进个人）等荣誉加</w:t>
      </w:r>
      <w:r>
        <w:rPr>
          <w:rFonts w:ascii="仿宋_GB2312" w:cs="仿宋_GB2312" w:hAnsi="仿宋_GB2312" w:eastAsia="仿宋_GB2312"/>
          <w:sz w:val="32"/>
          <w:szCs w:val="32"/>
          <w:rtl w:val="0"/>
          <w:lang w:val="en-US"/>
        </w:rPr>
        <w:t>0.02</w:t>
      </w:r>
      <w:r>
        <w:rPr>
          <w:rFonts w:ascii="仿宋_GB2312" w:cs="仿宋_GB2312" w:hAnsi="仿宋_GB2312" w:eastAsia="仿宋_GB2312"/>
          <w:sz w:val="32"/>
          <w:szCs w:val="32"/>
          <w:rtl w:val="0"/>
          <w:lang w:val="zh-TW" w:eastAsia="zh-TW"/>
        </w:rPr>
        <w:t xml:space="preserve">； </w:t>
      </w:r>
    </w:p>
    <w:p>
      <w:pPr>
        <w:pStyle w:val="Normal.0"/>
        <w:spacing w:line="600" w:lineRule="exact"/>
        <w:ind w:firstLine="643"/>
        <w:jc w:val="both"/>
        <w:rPr>
          <w:rFonts w:ascii="仿宋_GB2312" w:cs="仿宋_GB2312" w:hAnsi="仿宋_GB2312" w:eastAsia="仿宋_GB2312"/>
          <w:b w:val="1"/>
          <w:bCs w:val="1"/>
          <w:sz w:val="32"/>
          <w:szCs w:val="32"/>
          <w:lang w:val="zh-TW" w:eastAsia="zh-TW"/>
        </w:rPr>
      </w:pPr>
      <w:r>
        <w:rPr>
          <w:rFonts w:ascii="仿宋_GB2312" w:cs="仿宋_GB2312" w:hAnsi="仿宋_GB2312" w:eastAsia="仿宋_GB2312"/>
          <w:b w:val="1"/>
          <w:bCs w:val="1"/>
          <w:sz w:val="32"/>
          <w:szCs w:val="32"/>
          <w:rtl w:val="0"/>
          <w:lang w:val="zh-TW" w:eastAsia="zh-TW"/>
        </w:rPr>
        <w:t>按最高项加分，不重复累计。同个荣誉多次获得，不重复累计。</w:t>
      </w:r>
    </w:p>
    <w:p>
      <w:pPr>
        <w:pStyle w:val="Normal.0"/>
        <w:spacing w:line="600" w:lineRule="exact"/>
        <w:ind w:firstLine="640"/>
        <w:jc w:val="both"/>
        <w:rPr>
          <w:rFonts w:ascii="仿宋_GB2312" w:cs="仿宋_GB2312" w:hAnsi="仿宋_GB2312" w:eastAsia="仿宋_GB2312"/>
          <w:sz w:val="32"/>
          <w:szCs w:val="32"/>
          <w:lang w:val="zh-TW" w:eastAsia="zh-TW"/>
        </w:rPr>
      </w:pPr>
      <w:r>
        <w:rPr>
          <w:rFonts w:ascii="仿宋_GB2312" w:cs="仿宋_GB2312" w:hAnsi="仿宋_GB2312" w:eastAsia="仿宋_GB2312"/>
          <w:sz w:val="32"/>
          <w:szCs w:val="32"/>
          <w:rtl w:val="0"/>
          <w:lang w:val="zh-TW" w:eastAsia="zh-TW"/>
        </w:rPr>
        <w:t>根据学校文件精神，思想品德考核、外语和计算机能力类测试成绩或证书、校级及以下实践、社团活动、献血、团体荣誉不纳入综合素质加分范围；同时，与学业有关的奖学金、学业标兵等荣誉由于已在学业评价中体现，不纳入素质评价加分中。</w:t>
      </w:r>
    </w:p>
    <w:p>
      <w:pPr>
        <w:pStyle w:val="Normal.0"/>
        <w:spacing w:line="600" w:lineRule="exact"/>
        <w:ind w:firstLine="643"/>
        <w:rPr>
          <w:rFonts w:ascii="仿宋_GB2312" w:cs="仿宋_GB2312" w:hAnsi="仿宋_GB2312" w:eastAsia="仿宋_GB2312"/>
          <w:b w:val="1"/>
          <w:bCs w:val="1"/>
          <w:sz w:val="32"/>
          <w:szCs w:val="32"/>
        </w:rPr>
      </w:pP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（六）参加国际组织实习（上限</w:t>
      </w:r>
      <w:r>
        <w:rPr>
          <w:rFonts w:ascii="楷体_GB2312" w:cs="楷体_GB2312" w:hAnsi="楷体_GB2312" w:eastAsia="楷体_GB2312"/>
          <w:b w:val="1"/>
          <w:bCs w:val="1"/>
          <w:outline w:val="0"/>
          <w:color w:val="333333"/>
          <w:sz w:val="32"/>
          <w:szCs w:val="32"/>
          <w:u w:color="333333"/>
          <w:rtl w:val="0"/>
          <w:lang w:val="en-US"/>
          <w14:textFill>
            <w14:solidFill>
              <w14:srgbClr w14:val="333333"/>
            </w14:solidFill>
          </w14:textFill>
        </w:rPr>
        <w:t>0.03</w:t>
      </w: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w:t>
      </w:r>
    </w:p>
    <w:p>
      <w:pPr>
        <w:pStyle w:val="Normal.0"/>
        <w:spacing w:line="600" w:lineRule="exact"/>
        <w:ind w:firstLine="640"/>
        <w:jc w:val="both"/>
        <w:rPr>
          <w:rFonts w:ascii="仿宋_GB2312" w:cs="仿宋_GB2312" w:hAnsi="仿宋_GB2312" w:eastAsia="仿宋_GB2312"/>
          <w:sz w:val="32"/>
          <w:szCs w:val="32"/>
          <w:lang w:val="zh-TW" w:eastAsia="zh-TW"/>
        </w:rPr>
      </w:pPr>
      <w:r>
        <w:rPr>
          <w:rFonts w:ascii="仿宋_GB2312" w:cs="仿宋_GB2312" w:hAnsi="仿宋_GB2312" w:eastAsia="仿宋_GB2312"/>
          <w:sz w:val="32"/>
          <w:szCs w:val="32"/>
          <w:rtl w:val="0"/>
          <w:lang w:val="zh-TW" w:eastAsia="zh-TW"/>
        </w:rPr>
        <w:t xml:space="preserve">对本科期间有学校认定的国际组织实习经历或者有国际化志愿服务小时数并有突出表现的学生（不包括国精班项目学生）进行加分，具体分值如下： </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zh-TW" w:eastAsia="zh-TW"/>
        </w:rPr>
        <w:t>对本科期间有学校认定的四周以上国际组织实习经历加</w:t>
      </w:r>
      <w:r>
        <w:rPr>
          <w:rFonts w:ascii="仿宋_GB2312" w:cs="仿宋_GB2312" w:hAnsi="仿宋_GB2312" w:eastAsia="仿宋_GB2312"/>
          <w:sz w:val="32"/>
          <w:szCs w:val="32"/>
          <w:rtl w:val="0"/>
          <w:lang w:val="en-US"/>
        </w:rPr>
        <w:t>0.03</w:t>
      </w:r>
      <w:r>
        <w:rPr>
          <w:rFonts w:ascii="仿宋_GB2312" w:cs="仿宋_GB2312" w:hAnsi="仿宋_GB2312" w:eastAsia="仿宋_GB2312"/>
          <w:sz w:val="32"/>
          <w:szCs w:val="32"/>
          <w:rtl w:val="0"/>
          <w:lang w:val="zh-TW" w:eastAsia="zh-TW"/>
        </w:rPr>
        <w:t>；</w:t>
      </w:r>
    </w:p>
    <w:p>
      <w:pPr>
        <w:pStyle w:val="Normal.0"/>
        <w:spacing w:line="600" w:lineRule="exact"/>
        <w:ind w:firstLine="640"/>
        <w:jc w:val="both"/>
        <w:rPr>
          <w:rFonts w:ascii="仿宋_GB2312" w:cs="仿宋_GB2312" w:hAnsi="仿宋_GB2312" w:eastAsia="仿宋_GB2312"/>
          <w:outline w:val="0"/>
          <w:color w:val="ff0000"/>
          <w:sz w:val="32"/>
          <w:szCs w:val="32"/>
          <w:u w:color="ff0000"/>
          <w14:textFill>
            <w14:solidFill>
              <w14:srgbClr w14:val="FF0000"/>
            </w14:solidFill>
          </w14:textFill>
        </w:rPr>
      </w:pPr>
      <w:r>
        <w:rPr>
          <w:rFonts w:ascii="仿宋_GB2312" w:cs="仿宋_GB2312" w:hAnsi="仿宋_GB2312" w:eastAsia="仿宋_GB2312"/>
          <w:sz w:val="32"/>
          <w:szCs w:val="32"/>
          <w:rtl w:val="0"/>
          <w:lang w:val="zh-TW" w:eastAsia="zh-TW"/>
        </w:rPr>
        <w:t>对累计国际化志愿服务小时数为</w:t>
      </w:r>
      <w:r>
        <w:rPr>
          <w:rFonts w:ascii="仿宋_GB2312" w:cs="仿宋_GB2312" w:hAnsi="仿宋_GB2312" w:eastAsia="仿宋_GB2312"/>
          <w:sz w:val="32"/>
          <w:szCs w:val="32"/>
          <w:rtl w:val="0"/>
          <w:lang w:val="en-US"/>
        </w:rPr>
        <w:t>250</w:t>
      </w:r>
      <w:r>
        <w:rPr>
          <w:rFonts w:ascii="仿宋_GB2312" w:cs="仿宋_GB2312" w:hAnsi="仿宋_GB2312" w:eastAsia="仿宋_GB2312"/>
          <w:sz w:val="32"/>
          <w:szCs w:val="32"/>
          <w:rtl w:val="0"/>
          <w:lang w:val="zh-TW" w:eastAsia="zh-TW"/>
        </w:rPr>
        <w:t>小时（含）及以上并有突出表现的学生（不包括国精班项目学生）加</w:t>
      </w:r>
      <w:r>
        <w:rPr>
          <w:rFonts w:ascii="仿宋_GB2312" w:cs="仿宋_GB2312" w:hAnsi="仿宋_GB2312" w:eastAsia="仿宋_GB2312"/>
          <w:sz w:val="32"/>
          <w:szCs w:val="32"/>
          <w:rtl w:val="0"/>
          <w:lang w:val="en-US"/>
        </w:rPr>
        <w:t>0.03</w:t>
      </w:r>
      <w:r>
        <w:rPr>
          <w:rFonts w:ascii="仿宋_GB2312" w:cs="仿宋_GB2312" w:hAnsi="仿宋_GB2312" w:eastAsia="仿宋_GB2312"/>
          <w:sz w:val="32"/>
          <w:szCs w:val="32"/>
          <w:rtl w:val="0"/>
          <w:lang w:val="zh-TW" w:eastAsia="zh-TW"/>
        </w:rPr>
        <w:t>。</w:t>
      </w:r>
    </w:p>
    <w:p>
      <w:pPr>
        <w:pStyle w:val="Normal.0"/>
        <w:spacing w:line="600" w:lineRule="exact"/>
        <w:ind w:firstLine="643"/>
        <w:rPr>
          <w:rFonts w:ascii="楷体_GB2312" w:cs="楷体_GB2312" w:hAnsi="楷体_GB2312" w:eastAsia="楷体_GB2312"/>
          <w:b w:val="1"/>
          <w:bCs w:val="1"/>
          <w:outline w:val="0"/>
          <w:color w:val="333333"/>
          <w:sz w:val="32"/>
          <w:szCs w:val="32"/>
          <w:u w:color="333333"/>
          <w:lang w:val="zh-TW" w:eastAsia="zh-TW"/>
          <w14:textFill>
            <w14:solidFill>
              <w14:srgbClr w14:val="333333"/>
            </w14:solidFill>
          </w14:textFill>
        </w:rPr>
      </w:pPr>
      <w:r>
        <w:rPr>
          <w:rFonts w:ascii="楷体_GB2312" w:cs="楷体_GB2312" w:hAnsi="楷体_GB2312" w:eastAsia="楷体_GB2312"/>
          <w:b w:val="1"/>
          <w:bCs w:val="1"/>
          <w:outline w:val="0"/>
          <w:color w:val="333333"/>
          <w:sz w:val="32"/>
          <w:szCs w:val="32"/>
          <w:u w:color="333333"/>
          <w:rtl w:val="0"/>
          <w:lang w:val="zh-TW" w:eastAsia="zh-TW"/>
          <w14:textFill>
            <w14:solidFill>
              <w14:srgbClr w14:val="333333"/>
            </w14:solidFill>
          </w14:textFill>
        </w:rPr>
        <w:t>（七）补充说明</w:t>
      </w:r>
    </w:p>
    <w:p>
      <w:pPr>
        <w:pStyle w:val="Normal.0"/>
        <w:spacing w:line="600" w:lineRule="exact"/>
        <w:ind w:firstLine="640"/>
        <w:jc w:val="both"/>
        <w:rPr>
          <w:rFonts w:ascii="仿宋_GB2312" w:cs="仿宋_GB2312" w:hAnsi="仿宋_GB2312" w:eastAsia="仿宋_GB2312"/>
          <w:sz w:val="32"/>
          <w:szCs w:val="32"/>
          <w:lang w:val="zh-TW" w:eastAsia="zh-TW"/>
        </w:rPr>
      </w:pPr>
      <w:r>
        <w:rPr>
          <w:rFonts w:ascii="仿宋_GB2312" w:cs="仿宋_GB2312" w:hAnsi="仿宋_GB2312" w:eastAsia="仿宋_GB2312"/>
          <w:sz w:val="32"/>
          <w:szCs w:val="32"/>
          <w:rtl w:val="0"/>
          <w:lang w:val="zh-TW" w:eastAsia="zh-TW"/>
        </w:rPr>
        <w:t>对于本办法规定的项目之外，如若学校另有规定的，按学校规定计算；若学校未规定，其他需要加分的项目由学生本人提出申请，物理学院推免生遴选工作小组讨论决定相关事宜，并由申请人本人承担举证责任。</w:t>
      </w:r>
    </w:p>
    <w:p>
      <w:pPr>
        <w:pStyle w:val="Normal.0"/>
        <w:spacing w:line="600" w:lineRule="exact"/>
        <w:ind w:firstLine="643"/>
        <w:jc w:val="both"/>
        <w:rPr>
          <w:rFonts w:ascii="仿宋_GB2312" w:cs="仿宋_GB2312" w:hAnsi="仿宋_GB2312" w:eastAsia="仿宋_GB2312"/>
          <w:b w:val="1"/>
          <w:bCs w:val="1"/>
          <w:sz w:val="32"/>
          <w:szCs w:val="32"/>
          <w:lang w:val="zh-TW" w:eastAsia="zh-TW"/>
        </w:rPr>
      </w:pPr>
      <w:r>
        <w:rPr>
          <w:rFonts w:ascii="黑体" w:cs="黑体" w:hAnsi="黑体" w:eastAsia="黑体"/>
          <w:b w:val="1"/>
          <w:bCs w:val="1"/>
          <w:outline w:val="0"/>
          <w:color w:val="000000"/>
          <w:sz w:val="32"/>
          <w:szCs w:val="32"/>
          <w:u w:color="000000"/>
          <w:rtl w:val="0"/>
          <w:lang w:val="zh-TW" w:eastAsia="zh-TW"/>
          <w14:textFill>
            <w14:solidFill>
              <w14:srgbClr w14:val="000000"/>
            </w14:solidFill>
          </w14:textFill>
        </w:rPr>
        <w:t>二、相关说明</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en-US"/>
        </w:rPr>
        <w:t>1.</w:t>
      </w:r>
      <w:r>
        <w:rPr>
          <w:rFonts w:ascii="仿宋_GB2312" w:cs="仿宋_GB2312" w:hAnsi="仿宋_GB2312" w:eastAsia="仿宋_GB2312"/>
          <w:sz w:val="32"/>
          <w:szCs w:val="32"/>
          <w:rtl w:val="0"/>
          <w:lang w:val="zh-TW" w:eastAsia="zh-TW"/>
        </w:rPr>
        <w:t>申报材料采取个人申报和个人负责制，学生须确保所申报成果的真实有效。如有弄虚作假，将取消其免试研究生资格。</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en-US"/>
        </w:rPr>
        <w:t>2.</w:t>
      </w:r>
      <w:r>
        <w:rPr>
          <w:rFonts w:ascii="仿宋_GB2312" w:cs="仿宋_GB2312" w:hAnsi="仿宋_GB2312" w:eastAsia="仿宋_GB2312"/>
          <w:sz w:val="32"/>
          <w:szCs w:val="32"/>
          <w:rtl w:val="0"/>
          <w:lang w:val="zh-TW" w:eastAsia="zh-TW"/>
        </w:rPr>
        <w:t>免试研究生申报材料加分以本次申报为准，并以收到学生申报所需材料的纸质版为依据。</w:t>
      </w:r>
    </w:p>
    <w:p>
      <w:pPr>
        <w:pStyle w:val="Normal.0"/>
        <w:spacing w:line="600" w:lineRule="exact"/>
        <w:ind w:firstLine="640"/>
        <w:jc w:val="both"/>
        <w:rPr>
          <w:rFonts w:ascii="仿宋_GB2312" w:cs="仿宋_GB2312" w:hAnsi="仿宋_GB2312" w:eastAsia="仿宋_GB2312"/>
          <w:sz w:val="32"/>
          <w:szCs w:val="32"/>
        </w:rPr>
      </w:pPr>
      <w:r>
        <w:rPr>
          <w:rFonts w:ascii="仿宋_GB2312" w:cs="仿宋_GB2312" w:hAnsi="仿宋_GB2312" w:eastAsia="仿宋_GB2312"/>
          <w:sz w:val="32"/>
          <w:szCs w:val="32"/>
          <w:rtl w:val="0"/>
          <w:lang w:val="en-US"/>
        </w:rPr>
        <w:t>3.</w:t>
      </w:r>
      <w:r>
        <w:rPr>
          <w:rFonts w:ascii="仿宋_GB2312" w:cs="仿宋_GB2312" w:hAnsi="仿宋_GB2312" w:eastAsia="仿宋_GB2312"/>
          <w:sz w:val="32"/>
          <w:szCs w:val="32"/>
          <w:rtl w:val="0"/>
          <w:lang w:val="zh-TW" w:eastAsia="zh-TW"/>
        </w:rPr>
        <w:t>本办法仅适用于物理学院推荐</w:t>
      </w:r>
      <w:r>
        <w:rPr>
          <w:rFonts w:ascii="仿宋_GB2312" w:cs="仿宋_GB2312" w:hAnsi="仿宋_GB2312" w:eastAsia="仿宋_GB2312"/>
          <w:sz w:val="32"/>
          <w:szCs w:val="32"/>
          <w:rtl w:val="0"/>
          <w:lang w:val="en-US"/>
        </w:rPr>
        <w:t>202</w:t>
      </w:r>
      <w:r>
        <w:rPr>
          <w:rFonts w:ascii="仿宋_GB2312" w:cs="仿宋_GB2312" w:hAnsi="仿宋_GB2312" w:eastAsia="仿宋_GB2312"/>
          <w:sz w:val="32"/>
          <w:szCs w:val="32"/>
          <w:rtl w:val="0"/>
          <w:lang w:val="zh-CN" w:eastAsia="zh-CN"/>
        </w:rPr>
        <w:t>6</w:t>
      </w:r>
      <w:r>
        <w:rPr>
          <w:rFonts w:ascii="仿宋_GB2312" w:cs="仿宋_GB2312" w:hAnsi="仿宋_GB2312" w:eastAsia="仿宋_GB2312"/>
          <w:sz w:val="32"/>
          <w:szCs w:val="32"/>
          <w:rtl w:val="0"/>
          <w:lang w:val="zh-TW" w:eastAsia="zh-TW"/>
        </w:rPr>
        <w:t>届免试研究生工作，最终认定和解释权归物理学院推免生遴选工作小组。</w:t>
      </w:r>
    </w:p>
    <w:p>
      <w:pPr>
        <w:pStyle w:val="Normal.0"/>
        <w:spacing w:line="600" w:lineRule="exact"/>
        <w:ind w:firstLine="200"/>
        <w:jc w:val="right"/>
        <w:rPr>
          <w:rFonts w:ascii="仿宋_GB2312" w:cs="仿宋_GB2312" w:hAnsi="仿宋_GB2312" w:eastAsia="仿宋_GB2312"/>
          <w:sz w:val="32"/>
          <w:szCs w:val="32"/>
        </w:rPr>
      </w:pPr>
    </w:p>
    <w:p>
      <w:pPr>
        <w:pStyle w:val="Normal.0"/>
        <w:spacing w:line="600" w:lineRule="exact"/>
        <w:ind w:firstLine="200"/>
        <w:jc w:val="right"/>
        <w:rPr>
          <w:rFonts w:ascii="仿宋_GB2312" w:cs="仿宋_GB2312" w:hAnsi="仿宋_GB2312" w:eastAsia="仿宋_GB2312"/>
          <w:sz w:val="32"/>
          <w:szCs w:val="32"/>
          <w:lang w:val="zh-TW" w:eastAsia="zh-TW"/>
        </w:rPr>
      </w:pPr>
      <w:r>
        <w:rPr>
          <w:rFonts w:ascii="仿宋_GB2312" w:cs="仿宋_GB2312" w:hAnsi="仿宋_GB2312" w:eastAsia="仿宋_GB2312"/>
          <w:sz w:val="32"/>
          <w:szCs w:val="32"/>
          <w:rtl w:val="0"/>
          <w:lang w:val="zh-TW" w:eastAsia="zh-TW"/>
        </w:rPr>
        <w:t>浙江大学物理学院</w:t>
      </w:r>
    </w:p>
    <w:p>
      <w:pPr>
        <w:pStyle w:val="Normal.0"/>
        <w:spacing w:line="600" w:lineRule="exact"/>
        <w:ind w:firstLine="200"/>
        <w:jc w:val="right"/>
        <w:rPr>
          <w:rFonts w:ascii="仿宋_GB2312" w:cs="仿宋_GB2312" w:hAnsi="仿宋_GB2312" w:eastAsia="仿宋_GB2312"/>
          <w:sz w:val="32"/>
          <w:szCs w:val="32"/>
        </w:rPr>
      </w:pPr>
      <w:r>
        <w:rPr>
          <w:rFonts w:ascii="仿宋_GB2312" w:cs="仿宋_GB2312" w:hAnsi="仿宋_GB2312" w:eastAsia="仿宋_GB2312"/>
          <w:sz w:val="32"/>
          <w:szCs w:val="32"/>
          <w:rtl w:val="0"/>
          <w:lang w:val="en-US"/>
        </w:rPr>
        <w:t>202</w:t>
      </w:r>
      <w:r>
        <w:rPr>
          <w:rFonts w:ascii="仿宋_GB2312" w:cs="仿宋_GB2312" w:hAnsi="仿宋_GB2312" w:eastAsia="仿宋_GB2312"/>
          <w:sz w:val="32"/>
          <w:szCs w:val="32"/>
          <w:rtl w:val="0"/>
          <w:lang w:val="zh-CN" w:eastAsia="zh-CN"/>
        </w:rPr>
        <w:t>5</w:t>
      </w:r>
      <w:r>
        <w:rPr>
          <w:rFonts w:ascii="仿宋_GB2312" w:cs="仿宋_GB2312" w:hAnsi="仿宋_GB2312" w:eastAsia="仿宋_GB2312"/>
          <w:sz w:val="32"/>
          <w:szCs w:val="32"/>
          <w:rtl w:val="0"/>
          <w:lang w:val="zh-TW" w:eastAsia="zh-TW"/>
        </w:rPr>
        <w:t>年</w:t>
      </w:r>
      <w:r>
        <w:rPr>
          <w:rFonts w:ascii="仿宋_GB2312" w:cs="仿宋_GB2312" w:hAnsi="仿宋_GB2312" w:eastAsia="仿宋_GB2312"/>
          <w:sz w:val="32"/>
          <w:szCs w:val="32"/>
          <w:rtl w:val="0"/>
          <w:lang w:val="zh-CN" w:eastAsia="zh-CN"/>
        </w:rPr>
        <w:t>7</w:t>
      </w:r>
      <w:r>
        <w:rPr>
          <w:rFonts w:ascii="仿宋_GB2312" w:cs="仿宋_GB2312" w:hAnsi="仿宋_GB2312" w:eastAsia="仿宋_GB2312"/>
          <w:sz w:val="32"/>
          <w:szCs w:val="32"/>
          <w:rtl w:val="0"/>
          <w:lang w:val="zh-TW" w:eastAsia="zh-TW"/>
        </w:rPr>
        <w:t>月</w:t>
      </w:r>
    </w:p>
    <w:p>
      <w:pPr>
        <w:pStyle w:val="Normal.0"/>
        <w:spacing w:line="600" w:lineRule="exact"/>
        <w:ind w:firstLine="200"/>
        <w:rPr>
          <w:rFonts w:ascii="仿宋_GB2312" w:cs="仿宋_GB2312" w:hAnsi="仿宋_GB2312" w:eastAsia="仿宋_GB2312"/>
          <w:sz w:val="32"/>
          <w:szCs w:val="32"/>
        </w:rPr>
      </w:pPr>
    </w:p>
    <w:p>
      <w:pPr>
        <w:pStyle w:val="Normal.0"/>
        <w:spacing w:line="600" w:lineRule="exact"/>
        <w:ind w:firstLine="200"/>
        <w:rPr>
          <w:rFonts w:ascii="仿宋_GB2312" w:cs="仿宋_GB2312" w:hAnsi="仿宋_GB2312" w:eastAsia="仿宋_GB2312"/>
          <w:b w:val="1"/>
          <w:bCs w:val="1"/>
          <w:sz w:val="32"/>
          <w:szCs w:val="32"/>
        </w:rPr>
      </w:pPr>
      <w:r>
        <w:rPr>
          <w:rFonts w:ascii="仿宋_GB2312" w:cs="仿宋_GB2312" w:hAnsi="仿宋_GB2312" w:eastAsia="仿宋_GB2312"/>
          <w:b w:val="1"/>
          <w:bCs w:val="1"/>
          <w:sz w:val="32"/>
          <w:szCs w:val="32"/>
          <w:rtl w:val="0"/>
          <w:lang w:val="en-US"/>
        </w:rPr>
        <w:t xml:space="preserve"> </w:t>
      </w:r>
    </w:p>
    <w:p>
      <w:pPr>
        <w:pStyle w:val="Normal.0"/>
        <w:spacing w:line="600" w:lineRule="exact"/>
        <w:ind w:firstLine="200"/>
      </w:pPr>
      <w:r>
        <w:rPr>
          <w:rFonts w:ascii="仿宋_GB2312" w:cs="仿宋_GB2312" w:hAnsi="仿宋_GB2312" w:eastAsia="仿宋_GB2312"/>
          <w:b w:val="1"/>
          <w:bCs w:val="1"/>
          <w:sz w:val="32"/>
          <w:szCs w:val="32"/>
        </w:rPr>
      </w:r>
    </w:p>
    <w:sectPr>
      <w:headerReference w:type="default" r:id="rId4"/>
      <w:footerReference w:type="default" r:id="rId5"/>
      <w:pgSz w:w="11900" w:h="16840" w:orient="portrait"/>
      <w:pgMar w:top="1440" w:right="1800" w:bottom="1440" w:left="1800"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PingFang SC Regular">
    <w:charset w:val="00"/>
    <w:family w:val="roman"/>
    <w:pitch w:val="default"/>
  </w:font>
  <w:font w:name="方正小标宋简体">
    <w:charset w:val="00"/>
    <w:family w:val="roman"/>
    <w:pitch w:val="default"/>
  </w:font>
  <w:font w:name="仿宋_GB2312">
    <w:charset w:val="00"/>
    <w:family w:val="roman"/>
    <w:pitch w:val="default"/>
  </w:font>
  <w:font w:name="黑体">
    <w:charset w:val="00"/>
    <w:family w:val="roman"/>
    <w:pitch w:val="default"/>
  </w:font>
  <w:font w:name="楷体_GB2312">
    <w:charset w:val="00"/>
    <w:family w:val="roman"/>
    <w:pitch w:val="default"/>
  </w:font>
  <w:font w:name="等线">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8280"/>
        <w:tab w:val="clear" w:pos="8306"/>
      </w:tabs>
      <w:jc w:val="center"/>
    </w:pPr>
    <w:r>
      <w:rPr>
        <w:rtl w:val="0"/>
        <w:lang w:val="zh-TW" w:eastAsia="zh-TW"/>
      </w:rPr>
      <w:t xml:space="preserve"> </w:t>
    </w:r>
    <w:r>
      <w:rPr>
        <w:b w:val="1"/>
        <w:bCs w:val="1"/>
        <w:rtl w:val="0"/>
        <w:lang w:val="en-US"/>
      </w:rPr>
      <w:fldChar w:fldCharType="begin" w:fldLock="0"/>
    </w:r>
    <w:r>
      <w:rPr>
        <w:b w:val="1"/>
        <w:bCs w:val="1"/>
        <w:rtl w:val="0"/>
        <w:lang w:val="en-US"/>
      </w:rPr>
      <w:instrText xml:space="preserve"> PAGE </w:instrText>
    </w:r>
    <w:r>
      <w:rPr>
        <w:b w:val="1"/>
        <w:bCs w:val="1"/>
        <w:rtl w:val="0"/>
        <w:lang w:val="en-US"/>
      </w:rPr>
      <w:fldChar w:fldCharType="separate" w:fldLock="0"/>
    </w:r>
    <w:r>
      <w:rPr>
        <w:b w:val="1"/>
        <w:bCs w:val="1"/>
        <w:rtl w:val="0"/>
        <w:lang w:val="en-US"/>
      </w:rPr>
    </w:r>
    <w:r>
      <w:rPr>
        <w:b w:val="1"/>
        <w:bCs w:val="1"/>
        <w:rtl w:val="0"/>
        <w:lang w:val="en-US"/>
      </w:rPr>
      <w:fldChar w:fldCharType="end" w:fldLock="0"/>
    </w:r>
    <w:r>
      <w:rPr>
        <w:rtl w:val="0"/>
        <w:lang w:val="zh-TW" w:eastAsia="zh-TW"/>
      </w:rPr>
      <w:t xml:space="preserve"> / </w:t>
    </w:r>
    <w:r>
      <w:rPr>
        <w:b w:val="1"/>
        <w:bCs w:val="1"/>
        <w:rtl w:val="0"/>
        <w:lang w:val="en-US"/>
      </w:rPr>
      <w:fldChar w:fldCharType="begin" w:fldLock="0"/>
    </w:r>
    <w:r>
      <w:rPr>
        <w:b w:val="1"/>
        <w:bCs w:val="1"/>
        <w:rtl w:val="0"/>
        <w:lang w:val="en-US"/>
      </w:rPr>
      <w:instrText xml:space="preserve"> NUMPAGES </w:instrText>
    </w:r>
    <w:r>
      <w:rPr>
        <w:b w:val="1"/>
        <w:bCs w:val="1"/>
        <w:rtl w:val="0"/>
        <w:lang w:val="en-US"/>
      </w:rPr>
      <w:fldChar w:fldCharType="separate" w:fldLock="0"/>
    </w:r>
    <w:r>
      <w:rPr>
        <w:b w:val="1"/>
        <w:bCs w:val="1"/>
        <w:rtl w:val="0"/>
        <w:lang w:val="en-US"/>
      </w:rPr>
    </w:r>
    <w:r>
      <w:rPr>
        <w:b w:val="1"/>
        <w:bCs w:val="1"/>
        <w:rtl w:val="0"/>
        <w:lang w:val="en-US"/>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页眉与页脚"/>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已导入的样式“1”"/>
  </w:abstractNum>
  <w:abstractNum w:abstractNumId="1">
    <w:multiLevelType w:val="hybridMultilevel"/>
    <w:styleLink w:val="已导入的样式“1”"/>
    <w:lvl w:ilvl="0">
      <w:start w:val="1"/>
      <w:numFmt w:val="ideographDigital"/>
      <w:suff w:val="nothing"/>
      <w:lvlText w:val="%1."/>
      <w:lvlJc w:val="left"/>
      <w:pPr>
        <w:ind w:left="197" w:firstLine="446"/>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lowerLetter"/>
      <w:suff w:val="nothing"/>
      <w:lvlText w:val="%2)"/>
      <w:lvlJc w:val="left"/>
      <w:pPr>
        <w:ind w:left="197" w:firstLine="446"/>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lowerRoman"/>
      <w:suff w:val="tab"/>
      <w:lvlText w:val="%3."/>
      <w:lvlJc w:val="left"/>
      <w:pPr>
        <w:tabs>
          <w:tab w:val="num" w:pos="1183"/>
        </w:tabs>
        <w:ind w:left="540" w:firstLine="268"/>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4."/>
      <w:lvlJc w:val="left"/>
      <w:pPr>
        <w:ind w:left="960" w:firstLine="446"/>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lowerLetter"/>
      <w:suff w:val="nothing"/>
      <w:lvlText w:val="%5)"/>
      <w:lvlJc w:val="left"/>
      <w:pPr>
        <w:ind w:left="1380" w:firstLine="446"/>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lowerRoman"/>
      <w:suff w:val="tab"/>
      <w:lvlText w:val="%6."/>
      <w:lvlJc w:val="left"/>
      <w:pPr>
        <w:tabs>
          <w:tab w:val="num" w:pos="2443"/>
        </w:tabs>
        <w:ind w:left="1800" w:firstLine="268"/>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7."/>
      <w:lvlJc w:val="left"/>
      <w:pPr>
        <w:ind w:left="2220" w:firstLine="446"/>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8)"/>
      <w:lvlJc w:val="left"/>
      <w:pPr>
        <w:ind w:left="2640" w:firstLine="446"/>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lowerRoman"/>
      <w:suff w:val="tab"/>
      <w:lvlText w:val="%9."/>
      <w:lvlJc w:val="left"/>
      <w:pPr>
        <w:tabs>
          <w:tab w:val="num" w:pos="3703"/>
        </w:tabs>
        <w:ind w:left="3060" w:firstLine="268"/>
      </w:pPr>
      <w:rPr>
        <w:rFonts w:ascii="Times New Roman" w:cs="Times New Roman" w:hAnsi="Times New Roman" w:eastAsia="Times New Roman"/>
        <w:b w:val="1"/>
        <w:bCs w:val="1"/>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4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页眉与页脚">
    <w:name w:val="页眉与页脚"/>
    <w:next w:val="页眉与页脚"/>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PingFang SC Regular" w:cs="Arial Unicode MS" w:hAnsi="PingFang SC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已导入的样式“1”">
    <w:name w:val="已导入的样式“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0" w:right="0" w:firstLine="420"/>
      <w:jc w:val="left"/>
      <w:outlineLvl w:val="9"/>
    </w:pPr>
    <w:rPr>
      <w:rFonts w:ascii="Arial Unicode MS" w:cs="Arial Unicode MS" w:hAnsi="Arial Unicode MS" w:eastAsia="Times New Roman" w:hint="eastAsi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主题​​">
  <a:themeElements>
    <a:clrScheme name="Office 主题​​">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主题​​">
      <a:majorFont>
        <a:latin typeface="PingFang SC Semibold"/>
        <a:ea typeface="PingFang SC Semibold"/>
        <a:cs typeface="PingFang SC Semibold"/>
      </a:majorFont>
      <a:minorFont>
        <a:latin typeface="PingFang SC Regular"/>
        <a:ea typeface="PingFang SC Regular"/>
        <a:cs typeface="PingFang SC Regular"/>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等线"/>
            <a:ea typeface="等线"/>
            <a:cs typeface="等线"/>
            <a:sym typeface="等线"/>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